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779FB6" w14:textId="72F10398" w:rsidR="006E0881" w:rsidRPr="00E0384A" w:rsidRDefault="006E0881" w:rsidP="00E0384A">
      <w:pPr>
        <w:spacing w:after="80"/>
        <w:jc w:val="center"/>
        <w:rPr>
          <w:rFonts w:ascii="Lato" w:hAnsi="Lato"/>
          <w:b/>
        </w:rPr>
      </w:pPr>
      <w:r w:rsidRPr="00E0384A">
        <w:rPr>
          <w:rFonts w:ascii="Lato" w:hAnsi="Lato"/>
          <w:b/>
        </w:rPr>
        <w:t>RAPORT Z KONSULTACJI</w:t>
      </w:r>
      <w:r w:rsidR="00104B8A">
        <w:rPr>
          <w:rFonts w:ascii="Lato" w:hAnsi="Lato"/>
          <w:b/>
        </w:rPr>
        <w:t xml:space="preserve"> </w:t>
      </w:r>
      <w:bookmarkStart w:id="0" w:name="_GoBack"/>
      <w:bookmarkEnd w:id="0"/>
    </w:p>
    <w:p w14:paraId="0A3706B3" w14:textId="77777777" w:rsidR="00704CE0" w:rsidRPr="00E0384A" w:rsidRDefault="00704CE0" w:rsidP="00E0384A">
      <w:pPr>
        <w:spacing w:after="80"/>
        <w:jc w:val="center"/>
        <w:rPr>
          <w:rFonts w:ascii="Lato" w:hAnsi="Lato"/>
          <w:b/>
        </w:rPr>
      </w:pPr>
      <w:r w:rsidRPr="00E0384A">
        <w:rPr>
          <w:rFonts w:ascii="Lato" w:hAnsi="Lato"/>
          <w:b/>
        </w:rPr>
        <w:t xml:space="preserve">projektu rozporządzenia Ministra Spraw Wewnętrznych i Administracji w sprawie warstwy elektronicznej dowodu osobistego </w:t>
      </w:r>
    </w:p>
    <w:p w14:paraId="7C08C4FC" w14:textId="77777777" w:rsidR="00AE3867" w:rsidRPr="00E0384A" w:rsidRDefault="00AE3867" w:rsidP="00E0384A">
      <w:pPr>
        <w:spacing w:after="80"/>
        <w:jc w:val="center"/>
        <w:rPr>
          <w:rFonts w:ascii="Lato" w:hAnsi="Lato"/>
          <w:b/>
        </w:rPr>
      </w:pPr>
      <w:r w:rsidRPr="00E0384A">
        <w:rPr>
          <w:rFonts w:ascii="Lato" w:hAnsi="Lato"/>
          <w:b/>
        </w:rPr>
        <w:t xml:space="preserve">Nr w Wykazie prac legislacyjnych Ministra Spraw Wewnętrznych i Administracji: </w:t>
      </w:r>
      <w:r w:rsidR="00704CE0" w:rsidRPr="00E0384A">
        <w:rPr>
          <w:rFonts w:ascii="Lato" w:hAnsi="Lato"/>
          <w:b/>
        </w:rPr>
        <w:t xml:space="preserve">1102 </w:t>
      </w:r>
    </w:p>
    <w:p w14:paraId="7779EE15" w14:textId="77777777" w:rsidR="00C3592E" w:rsidRPr="00E0384A" w:rsidRDefault="00C3592E" w:rsidP="00E0384A">
      <w:pPr>
        <w:spacing w:after="80"/>
        <w:rPr>
          <w:rFonts w:ascii="Lato" w:hAnsi="Lato" w:cstheme="minorHAnsi"/>
          <w:b/>
        </w:rPr>
      </w:pPr>
      <w:r w:rsidRPr="00E0384A">
        <w:rPr>
          <w:rFonts w:ascii="Lato" w:hAnsi="Lato" w:cstheme="minorHAnsi"/>
          <w:b/>
        </w:rPr>
        <w:t>1. Informacje ogólne</w:t>
      </w:r>
    </w:p>
    <w:p w14:paraId="1BAF8342" w14:textId="77777777" w:rsidR="00C3592E" w:rsidRPr="00E0384A" w:rsidRDefault="00C3592E" w:rsidP="00E0384A">
      <w:pPr>
        <w:spacing w:after="80"/>
        <w:jc w:val="both"/>
        <w:rPr>
          <w:rFonts w:ascii="Lato" w:hAnsi="Lato"/>
        </w:rPr>
      </w:pPr>
      <w:r w:rsidRPr="00E0384A">
        <w:rPr>
          <w:rFonts w:ascii="Lato" w:hAnsi="Lato"/>
        </w:rPr>
        <w:t xml:space="preserve">Zgodnie z § 36 uchwały nr 190 Rady Ministrów z dnia 29 października 2013 r. – </w:t>
      </w:r>
      <w:r w:rsidRPr="00E0384A">
        <w:rPr>
          <w:rFonts w:ascii="Lato" w:hAnsi="Lato"/>
          <w:i/>
        </w:rPr>
        <w:t>Reg</w:t>
      </w:r>
      <w:r w:rsidR="00F879B4" w:rsidRPr="00E0384A">
        <w:rPr>
          <w:rFonts w:ascii="Lato" w:hAnsi="Lato"/>
          <w:i/>
        </w:rPr>
        <w:t>ulamin pracy Rady Ministrów</w:t>
      </w:r>
      <w:r w:rsidR="00F879B4" w:rsidRPr="00E0384A">
        <w:rPr>
          <w:rFonts w:ascii="Lato" w:hAnsi="Lato"/>
        </w:rPr>
        <w:t xml:space="preserve"> (M.</w:t>
      </w:r>
      <w:r w:rsidRPr="00E0384A">
        <w:rPr>
          <w:rFonts w:ascii="Lato" w:hAnsi="Lato"/>
        </w:rPr>
        <w:t>P. z 20</w:t>
      </w:r>
      <w:r w:rsidR="009D3444" w:rsidRPr="00E0384A">
        <w:rPr>
          <w:rFonts w:ascii="Lato" w:hAnsi="Lato"/>
        </w:rPr>
        <w:t>22</w:t>
      </w:r>
      <w:r w:rsidRPr="00E0384A">
        <w:rPr>
          <w:rFonts w:ascii="Lato" w:hAnsi="Lato"/>
        </w:rPr>
        <w:t xml:space="preserve"> r. poz. </w:t>
      </w:r>
      <w:r w:rsidR="009D3444" w:rsidRPr="00E0384A">
        <w:rPr>
          <w:rFonts w:ascii="Lato" w:hAnsi="Lato"/>
        </w:rPr>
        <w:t>348</w:t>
      </w:r>
      <w:r w:rsidRPr="00E0384A">
        <w:rPr>
          <w:rFonts w:ascii="Lato" w:hAnsi="Lato"/>
        </w:rPr>
        <w:t>)</w:t>
      </w:r>
      <w:r w:rsidR="009D3444" w:rsidRPr="00E0384A">
        <w:rPr>
          <w:rFonts w:ascii="Lato" w:hAnsi="Lato"/>
        </w:rPr>
        <w:t>,</w:t>
      </w:r>
      <w:r w:rsidRPr="00E0384A">
        <w:rPr>
          <w:rFonts w:ascii="Lato" w:hAnsi="Lato"/>
        </w:rPr>
        <w:t xml:space="preserve"> projekty ustaw lub projekty rozporządzeń przedstawia się do konsultacji publicznych, w tym konsultacji z organizacjami społecznymi lub innymi zainteresowanymi podmiotami albo instytucjami w celu przedstawienia ich stanowiska. Niniejszy dokument stanowi wypełnienie obowiązku, o którym mowa w § 51 ust. 1 Regulaminu, zgodnie z którym organ wnioskujący sporządza raport z konsultacji obejmujący omówienie wyników przeprowadzonych konsultacji publicznych i opiniowania. </w:t>
      </w:r>
    </w:p>
    <w:p w14:paraId="374B368C" w14:textId="77777777" w:rsidR="00AE3867" w:rsidRPr="00E0384A" w:rsidRDefault="00AE3867" w:rsidP="00E0384A">
      <w:pPr>
        <w:spacing w:after="80"/>
        <w:jc w:val="both"/>
        <w:rPr>
          <w:rFonts w:ascii="Lato" w:hAnsi="Lato"/>
        </w:rPr>
      </w:pPr>
      <w:r w:rsidRPr="00E0384A">
        <w:rPr>
          <w:rFonts w:ascii="Lato" w:hAnsi="Lato"/>
        </w:rPr>
        <w:t xml:space="preserve">Projekt został udostępniony w Biuletynie Informacji Publicznej na stronie Rządowego Centrum Legislacji w zakładce „Rządowy Proces Legislacyjny” zgodnie z § 52 ust. 1 uchwały nr 190 Rady Ministrów z dnia 29 października 2013 r. – </w:t>
      </w:r>
      <w:r w:rsidR="00F879B4" w:rsidRPr="00E0384A">
        <w:rPr>
          <w:rFonts w:ascii="Lato" w:hAnsi="Lato"/>
          <w:i/>
        </w:rPr>
        <w:t>Regulamin pracy Rady Ministrów</w:t>
      </w:r>
      <w:r w:rsidR="00F879B4" w:rsidRPr="00E0384A">
        <w:rPr>
          <w:rFonts w:ascii="Lato" w:hAnsi="Lato"/>
        </w:rPr>
        <w:t xml:space="preserve"> </w:t>
      </w:r>
      <w:r w:rsidRPr="00E0384A">
        <w:rPr>
          <w:rFonts w:ascii="Lato" w:hAnsi="Lato"/>
        </w:rPr>
        <w:t xml:space="preserve">oraz stosownie do wymogów art. 5 ustawy z dnia 7 lipca 2005 r. </w:t>
      </w:r>
      <w:r w:rsidRPr="0076366B">
        <w:rPr>
          <w:rFonts w:ascii="Lato" w:hAnsi="Lato"/>
          <w:i/>
        </w:rPr>
        <w:t>o działalności lobbingowej w procesie stanowienia prawa</w:t>
      </w:r>
      <w:r w:rsidRPr="00E0384A">
        <w:rPr>
          <w:rFonts w:ascii="Lato" w:hAnsi="Lato"/>
        </w:rPr>
        <w:t xml:space="preserve"> (Dz. U. z 2017 r. poz. 248).</w:t>
      </w:r>
    </w:p>
    <w:p w14:paraId="5B785BD8" w14:textId="77777777" w:rsidR="00E434C7" w:rsidRPr="00E0384A" w:rsidRDefault="00E434C7" w:rsidP="00E0384A">
      <w:pPr>
        <w:spacing w:after="80"/>
        <w:jc w:val="both"/>
        <w:rPr>
          <w:rFonts w:ascii="Lato" w:hAnsi="Lato"/>
          <w:b/>
        </w:rPr>
      </w:pPr>
      <w:r w:rsidRPr="00E0384A">
        <w:rPr>
          <w:rFonts w:ascii="Lato" w:hAnsi="Lato"/>
          <w:b/>
        </w:rPr>
        <w:t xml:space="preserve">2. Przebieg konsultacji i opiniowania </w:t>
      </w:r>
    </w:p>
    <w:p w14:paraId="33685625" w14:textId="77777777" w:rsidR="00E434C7" w:rsidRPr="00243C53" w:rsidRDefault="00E434C7" w:rsidP="00E0384A">
      <w:pPr>
        <w:autoSpaceDE w:val="0"/>
        <w:autoSpaceDN w:val="0"/>
        <w:adjustRightInd w:val="0"/>
        <w:spacing w:after="80"/>
        <w:jc w:val="both"/>
        <w:rPr>
          <w:rFonts w:ascii="Lato" w:hAnsi="Lato" w:cstheme="minorHAnsi"/>
          <w:u w:val="single"/>
        </w:rPr>
      </w:pPr>
      <w:r w:rsidRPr="00243C53">
        <w:rPr>
          <w:rFonts w:ascii="Lato" w:hAnsi="Lato" w:cstheme="minorHAnsi"/>
          <w:u w:val="single"/>
        </w:rPr>
        <w:t xml:space="preserve">Projekt rozporządzenia został skierowany </w:t>
      </w:r>
      <w:r w:rsidRPr="00243C53">
        <w:rPr>
          <w:rFonts w:ascii="Lato" w:hAnsi="Lato" w:cstheme="minorHAnsi"/>
          <w:b/>
          <w:u w:val="single"/>
        </w:rPr>
        <w:t>do konsultacji publicznych</w:t>
      </w:r>
      <w:r w:rsidRPr="00243C53">
        <w:rPr>
          <w:rFonts w:ascii="Lato" w:hAnsi="Lato" w:cstheme="minorHAnsi"/>
          <w:u w:val="single"/>
        </w:rPr>
        <w:t xml:space="preserve"> do następujących podmiotów:</w:t>
      </w:r>
    </w:p>
    <w:p w14:paraId="1314DD28" w14:textId="7A6206EE" w:rsidR="00E434C7" w:rsidRPr="00E0384A" w:rsidRDefault="00E434C7" w:rsidP="004A4B18">
      <w:pPr>
        <w:spacing w:after="80"/>
        <w:jc w:val="both"/>
        <w:rPr>
          <w:rFonts w:ascii="Lato" w:hAnsi="Lato"/>
        </w:rPr>
      </w:pPr>
      <w:r w:rsidRPr="00E0384A">
        <w:rPr>
          <w:rFonts w:ascii="Lato" w:hAnsi="Lato"/>
        </w:rPr>
        <w:t>Polskie Towarzystwo Informatyczne (PTI), Polska Izba Inform</w:t>
      </w:r>
      <w:r w:rsidR="004A4B18">
        <w:rPr>
          <w:rFonts w:ascii="Lato" w:hAnsi="Lato"/>
        </w:rPr>
        <w:t xml:space="preserve">atyki i Telekomunikacji (PIIT), </w:t>
      </w:r>
      <w:r w:rsidRPr="00E0384A">
        <w:rPr>
          <w:rFonts w:ascii="Lato" w:hAnsi="Lato"/>
        </w:rPr>
        <w:t>Krajowa Izba Gospodarcza Elektroniki i Telekomunikacji (</w:t>
      </w:r>
      <w:proofErr w:type="spellStart"/>
      <w:r w:rsidRPr="00E0384A">
        <w:rPr>
          <w:rFonts w:ascii="Lato" w:hAnsi="Lato"/>
        </w:rPr>
        <w:t>KIGEiT</w:t>
      </w:r>
      <w:proofErr w:type="spellEnd"/>
      <w:r w:rsidRPr="00E0384A">
        <w:rPr>
          <w:rFonts w:ascii="Lato" w:hAnsi="Lato"/>
        </w:rPr>
        <w:t>), Stowarzyszenie Instytut Informatyki Śledczej, Polska Izba Komunikacji Elektronicznej, Rada Główna Instytutów Badawczych (RGIB), Związek Banków Polskich, Izba Gospodarki Elektronicznej, Polska Izba Informatyki Medycznej, Ogólnopolskie Porozumienie Organizacji Samorządowych,  Konfederacja Lewiatan, Fundacja Panoptykon, Fundacja Moje Państwo.</w:t>
      </w:r>
    </w:p>
    <w:p w14:paraId="2274FD55" w14:textId="63529DDD" w:rsidR="00E434C7" w:rsidRPr="00243C53" w:rsidRDefault="00DE5BE4" w:rsidP="00E0384A">
      <w:pPr>
        <w:spacing w:after="80"/>
        <w:jc w:val="both"/>
        <w:rPr>
          <w:rFonts w:ascii="Lato" w:hAnsi="Lato"/>
          <w:u w:val="single"/>
        </w:rPr>
      </w:pPr>
      <w:r w:rsidRPr="00243C53">
        <w:rPr>
          <w:rFonts w:ascii="Lato" w:hAnsi="Lato"/>
          <w:u w:val="single"/>
        </w:rPr>
        <w:t>P</w:t>
      </w:r>
      <w:r w:rsidR="00E434C7" w:rsidRPr="00243C53">
        <w:rPr>
          <w:rFonts w:ascii="Lato" w:hAnsi="Lato"/>
          <w:u w:val="single"/>
        </w:rPr>
        <w:t xml:space="preserve">rojekt rozporządzenia został skierowany </w:t>
      </w:r>
      <w:r w:rsidR="00E434C7" w:rsidRPr="00243C53">
        <w:rPr>
          <w:rFonts w:ascii="Lato" w:hAnsi="Lato"/>
          <w:b/>
          <w:u w:val="single"/>
        </w:rPr>
        <w:t>do opiniowania</w:t>
      </w:r>
      <w:r w:rsidR="00E434C7" w:rsidRPr="00243C53">
        <w:rPr>
          <w:rFonts w:ascii="Lato" w:hAnsi="Lato"/>
          <w:u w:val="single"/>
        </w:rPr>
        <w:t xml:space="preserve"> do n</w:t>
      </w:r>
      <w:r w:rsidR="0076366B">
        <w:rPr>
          <w:rFonts w:ascii="Lato" w:hAnsi="Lato"/>
          <w:u w:val="single"/>
        </w:rPr>
        <w:t>astępujących</w:t>
      </w:r>
      <w:r w:rsidR="00E434C7" w:rsidRPr="00243C53">
        <w:rPr>
          <w:rFonts w:ascii="Lato" w:hAnsi="Lato"/>
          <w:u w:val="single"/>
        </w:rPr>
        <w:t xml:space="preserve"> podmiotów:</w:t>
      </w:r>
    </w:p>
    <w:p w14:paraId="0DBEC7D4" w14:textId="2ACE7A47" w:rsidR="00DE5BE4" w:rsidRPr="004A4B18" w:rsidRDefault="00DE5BE4" w:rsidP="004A4B18">
      <w:pPr>
        <w:spacing w:after="80"/>
        <w:jc w:val="both"/>
        <w:rPr>
          <w:rFonts w:ascii="Lato" w:hAnsi="Lato"/>
        </w:rPr>
      </w:pPr>
      <w:r w:rsidRPr="004A4B18">
        <w:rPr>
          <w:rFonts w:ascii="Lato" w:hAnsi="Lato"/>
        </w:rPr>
        <w:t>Rzecznik Praw Obywatelskich,</w:t>
      </w:r>
      <w:r w:rsidR="004A4B18">
        <w:rPr>
          <w:rFonts w:ascii="Lato" w:hAnsi="Lato"/>
        </w:rPr>
        <w:t xml:space="preserve"> </w:t>
      </w:r>
      <w:r w:rsidRPr="004A4B18">
        <w:rPr>
          <w:rFonts w:ascii="Lato" w:hAnsi="Lato"/>
        </w:rPr>
        <w:t>Prezes Urzędu Ochrony Danych Osobowych,</w:t>
      </w:r>
      <w:r w:rsidR="004A4B18">
        <w:rPr>
          <w:rFonts w:ascii="Lato" w:hAnsi="Lato"/>
        </w:rPr>
        <w:t xml:space="preserve"> </w:t>
      </w:r>
      <w:r w:rsidRPr="004A4B18">
        <w:rPr>
          <w:rFonts w:ascii="Lato" w:hAnsi="Lato"/>
        </w:rPr>
        <w:t>Prezes Polskiego Komitetu Normalizacyjnego,</w:t>
      </w:r>
      <w:r w:rsidR="004A4B18">
        <w:rPr>
          <w:rFonts w:ascii="Lato" w:hAnsi="Lato"/>
        </w:rPr>
        <w:t xml:space="preserve"> </w:t>
      </w:r>
      <w:r w:rsidRPr="004A4B18">
        <w:rPr>
          <w:rFonts w:ascii="Lato" w:hAnsi="Lato"/>
        </w:rPr>
        <w:t>Wojewodowie.</w:t>
      </w:r>
    </w:p>
    <w:p w14:paraId="3430A364" w14:textId="0201BFF7" w:rsidR="00E434C7" w:rsidRPr="00E0384A" w:rsidRDefault="00DE5BE4" w:rsidP="00E0384A">
      <w:pPr>
        <w:spacing w:after="80"/>
        <w:jc w:val="both"/>
        <w:rPr>
          <w:rFonts w:ascii="Lato" w:hAnsi="Lato"/>
        </w:rPr>
      </w:pPr>
      <w:r w:rsidRPr="00E0384A">
        <w:rPr>
          <w:rFonts w:ascii="Lato" w:hAnsi="Lato"/>
        </w:rPr>
        <w:t xml:space="preserve">Projekt został również przekazany do zaopiniowania przez Komisję Wspólną Rządu </w:t>
      </w:r>
      <w:r w:rsidRPr="00E0384A">
        <w:rPr>
          <w:rFonts w:ascii="Lato" w:hAnsi="Lato"/>
        </w:rPr>
        <w:br/>
        <w:t>i Samorządu Terytorialnego.</w:t>
      </w:r>
    </w:p>
    <w:p w14:paraId="48F8FBC9" w14:textId="77777777" w:rsidR="00C3592E" w:rsidRPr="00E0384A" w:rsidRDefault="00DE5BE4" w:rsidP="00E0384A">
      <w:pPr>
        <w:spacing w:after="80"/>
        <w:jc w:val="both"/>
        <w:rPr>
          <w:rFonts w:ascii="Lato" w:hAnsi="Lato" w:cstheme="minorHAnsi"/>
          <w:b/>
        </w:rPr>
      </w:pPr>
      <w:r w:rsidRPr="00E0384A">
        <w:rPr>
          <w:rFonts w:ascii="Lato" w:hAnsi="Lato" w:cstheme="minorHAnsi"/>
          <w:b/>
        </w:rPr>
        <w:t>3</w:t>
      </w:r>
      <w:r w:rsidR="00C3592E" w:rsidRPr="00E0384A">
        <w:rPr>
          <w:rFonts w:ascii="Lato" w:hAnsi="Lato" w:cstheme="minorHAnsi"/>
          <w:b/>
        </w:rPr>
        <w:t>. Omówienie wyników przeprowadzonych konsultacji publicznych i opiniowania</w:t>
      </w:r>
    </w:p>
    <w:p w14:paraId="12E01A4D" w14:textId="01BEBEC8" w:rsidR="000B5974" w:rsidRPr="00E0384A" w:rsidRDefault="000B5974" w:rsidP="00E0384A">
      <w:pPr>
        <w:spacing w:after="80"/>
        <w:jc w:val="both"/>
        <w:rPr>
          <w:rFonts w:ascii="Lato" w:hAnsi="Lato"/>
        </w:rPr>
      </w:pPr>
      <w:r w:rsidRPr="00E0384A">
        <w:rPr>
          <w:rFonts w:ascii="Lato" w:hAnsi="Lato"/>
        </w:rPr>
        <w:t xml:space="preserve">Stanowiska i opinie do projektu przedstawili: </w:t>
      </w:r>
    </w:p>
    <w:p w14:paraId="3A5DAC01" w14:textId="2A0A5434" w:rsidR="000B5974" w:rsidRPr="0076366B" w:rsidRDefault="000B5974" w:rsidP="00E0384A">
      <w:pPr>
        <w:spacing w:after="80"/>
        <w:jc w:val="both"/>
        <w:rPr>
          <w:rFonts w:ascii="Lato" w:hAnsi="Lato"/>
        </w:rPr>
      </w:pPr>
      <w:r w:rsidRPr="0076366B">
        <w:rPr>
          <w:rFonts w:ascii="Lato" w:hAnsi="Lato"/>
        </w:rPr>
        <w:t>Federacja Związków Pracodawców Ochrony Zdrowia „Porozumienie Zielonogórskie”, Izba Gospodarki Elektronicznej, Związek Banków Polskich, Wojewoda Kujawsko-Pomorski, Wojewoda Lubelski, Wojewoda Małopolski, Wojewoda Podkarpacki, Wojewoda Świętokrzyski, Wojewoda Wielkopolski, Prezes Urzędu Ochrony Danych Osobowych, Polski Komitet Normaliz</w:t>
      </w:r>
      <w:r w:rsidR="00B0600C">
        <w:rPr>
          <w:rFonts w:ascii="Lato" w:hAnsi="Lato"/>
        </w:rPr>
        <w:t>acyjny oraz Komitet Techniczny</w:t>
      </w:r>
      <w:r w:rsidRPr="0076366B">
        <w:rPr>
          <w:rFonts w:ascii="Lato" w:hAnsi="Lato"/>
        </w:rPr>
        <w:t xml:space="preserve"> nr 182 ds. Ochrony informacji w systemach teleinformatycznych. </w:t>
      </w:r>
    </w:p>
    <w:p w14:paraId="369C6666" w14:textId="1ACE2121" w:rsidR="00AB61D6" w:rsidRPr="004A4B18" w:rsidRDefault="000B5974" w:rsidP="00E0384A">
      <w:pPr>
        <w:spacing w:after="80"/>
        <w:jc w:val="both"/>
        <w:rPr>
          <w:rFonts w:ascii="Lato" w:hAnsi="Lato"/>
        </w:rPr>
      </w:pPr>
      <w:r w:rsidRPr="004A4B18">
        <w:rPr>
          <w:rFonts w:ascii="Lato" w:hAnsi="Lato"/>
        </w:rPr>
        <w:t>Federacja Związków Pracodawców Ochrony Zdrowia „Porozumienie Zielonogórskie”,</w:t>
      </w:r>
      <w:r w:rsidR="00175FE9" w:rsidRPr="004A4B18">
        <w:rPr>
          <w:rFonts w:ascii="Lato" w:hAnsi="Lato"/>
        </w:rPr>
        <w:t xml:space="preserve"> Izba Gospodarki Elektronicznej oraz ww. Wojewodowie</w:t>
      </w:r>
      <w:r w:rsidRPr="004A4B18">
        <w:rPr>
          <w:rFonts w:ascii="Lato" w:hAnsi="Lato"/>
        </w:rPr>
        <w:t xml:space="preserve"> </w:t>
      </w:r>
      <w:r w:rsidR="00AB61D6" w:rsidRPr="004A4B18">
        <w:rPr>
          <w:rFonts w:ascii="Lato" w:hAnsi="Lato"/>
        </w:rPr>
        <w:t>poinformowali</w:t>
      </w:r>
      <w:r w:rsidR="004A4B18" w:rsidRPr="004A4B18">
        <w:rPr>
          <w:rFonts w:ascii="Lato" w:hAnsi="Lato"/>
        </w:rPr>
        <w:t xml:space="preserve"> o braku </w:t>
      </w:r>
      <w:r w:rsidR="00AB61D6" w:rsidRPr="004A4B18">
        <w:rPr>
          <w:rFonts w:ascii="Lato" w:hAnsi="Lato"/>
        </w:rPr>
        <w:t xml:space="preserve">uwag do projektu. </w:t>
      </w:r>
    </w:p>
    <w:p w14:paraId="29112E33" w14:textId="416528B5" w:rsidR="000B5974" w:rsidRPr="00E0384A" w:rsidRDefault="000B5974" w:rsidP="00E0384A">
      <w:pPr>
        <w:spacing w:after="80"/>
        <w:jc w:val="both"/>
        <w:rPr>
          <w:rFonts w:ascii="Lato" w:hAnsi="Lato"/>
        </w:rPr>
      </w:pPr>
      <w:r w:rsidRPr="00E0384A">
        <w:rPr>
          <w:rFonts w:ascii="Lato" w:hAnsi="Lato"/>
        </w:rPr>
        <w:t xml:space="preserve">Uwagi do projektu </w:t>
      </w:r>
      <w:r w:rsidR="004A4B18">
        <w:rPr>
          <w:rFonts w:ascii="Lato" w:hAnsi="Lato"/>
        </w:rPr>
        <w:t>wnieśli</w:t>
      </w:r>
      <w:r w:rsidRPr="00E0384A">
        <w:rPr>
          <w:rFonts w:ascii="Lato" w:hAnsi="Lato"/>
        </w:rPr>
        <w:t>: Związek Banków Polskich</w:t>
      </w:r>
      <w:r w:rsidR="004A22B6" w:rsidRPr="00E0384A">
        <w:rPr>
          <w:rFonts w:ascii="Lato" w:hAnsi="Lato"/>
        </w:rPr>
        <w:t xml:space="preserve"> (ZBP)</w:t>
      </w:r>
      <w:r w:rsidRPr="00E0384A">
        <w:rPr>
          <w:rFonts w:ascii="Lato" w:hAnsi="Lato"/>
        </w:rPr>
        <w:t>, Prezes Urzędu Ochrony Danych Osobowych</w:t>
      </w:r>
      <w:r w:rsidR="004A22B6" w:rsidRPr="00E0384A">
        <w:rPr>
          <w:rFonts w:ascii="Lato" w:hAnsi="Lato"/>
        </w:rPr>
        <w:t xml:space="preserve"> (UODO)</w:t>
      </w:r>
      <w:r w:rsidRPr="00E0384A">
        <w:rPr>
          <w:rFonts w:ascii="Lato" w:hAnsi="Lato"/>
        </w:rPr>
        <w:t>, Polski Komitet Normalizacyjny</w:t>
      </w:r>
      <w:r w:rsidR="004A22B6" w:rsidRPr="00E0384A">
        <w:rPr>
          <w:rFonts w:ascii="Lato" w:hAnsi="Lato"/>
        </w:rPr>
        <w:t xml:space="preserve"> (PKN)</w:t>
      </w:r>
      <w:r w:rsidRPr="00E0384A">
        <w:rPr>
          <w:rFonts w:ascii="Lato" w:hAnsi="Lato"/>
        </w:rPr>
        <w:t xml:space="preserve"> oraz Komitet Techniczn</w:t>
      </w:r>
      <w:r w:rsidR="00EA5EBA" w:rsidRPr="00E0384A">
        <w:rPr>
          <w:rFonts w:ascii="Lato" w:hAnsi="Lato"/>
        </w:rPr>
        <w:t>y</w:t>
      </w:r>
      <w:r w:rsidRPr="00E0384A">
        <w:rPr>
          <w:rFonts w:ascii="Lato" w:hAnsi="Lato"/>
        </w:rPr>
        <w:t xml:space="preserve"> nr 182 </w:t>
      </w:r>
      <w:r w:rsidR="00E0384A">
        <w:rPr>
          <w:rFonts w:ascii="Lato" w:hAnsi="Lato"/>
        </w:rPr>
        <w:br/>
      </w:r>
      <w:r w:rsidRPr="00E0384A">
        <w:rPr>
          <w:rFonts w:ascii="Lato" w:hAnsi="Lato"/>
        </w:rPr>
        <w:t>ds. Ochrony informacji w systemach teleinformatycznych</w:t>
      </w:r>
      <w:r w:rsidR="004A22B6" w:rsidRPr="00E0384A">
        <w:rPr>
          <w:rFonts w:ascii="Lato" w:hAnsi="Lato"/>
        </w:rPr>
        <w:t xml:space="preserve"> (KT nr 182)</w:t>
      </w:r>
      <w:r w:rsidRPr="00E0384A">
        <w:rPr>
          <w:rFonts w:ascii="Lato" w:hAnsi="Lato"/>
        </w:rPr>
        <w:t>.</w:t>
      </w:r>
    </w:p>
    <w:p w14:paraId="04846773" w14:textId="4E9BCE85" w:rsidR="008160AA" w:rsidRPr="00EE5854" w:rsidRDefault="004A22B6" w:rsidP="00E0384A">
      <w:pPr>
        <w:spacing w:after="80"/>
        <w:jc w:val="both"/>
        <w:rPr>
          <w:rFonts w:ascii="Lato" w:hAnsi="Lato"/>
        </w:rPr>
      </w:pPr>
      <w:r w:rsidRPr="00EE5854">
        <w:rPr>
          <w:rFonts w:ascii="Lato" w:hAnsi="Lato"/>
          <w:b/>
          <w:u w:val="single"/>
        </w:rPr>
        <w:lastRenderedPageBreak/>
        <w:t>ZBP</w:t>
      </w:r>
      <w:r w:rsidRPr="00EE5854">
        <w:rPr>
          <w:rFonts w:ascii="Lato" w:hAnsi="Lato"/>
        </w:rPr>
        <w:t xml:space="preserve"> zgłosił propozycję przeniesienia wymagań dotyczących sposobu używania certyfikatów</w:t>
      </w:r>
      <w:r w:rsidR="00545ED6" w:rsidRPr="00EE5854">
        <w:rPr>
          <w:rFonts w:ascii="Lato" w:hAnsi="Lato"/>
        </w:rPr>
        <w:t xml:space="preserve"> zawartych w warstwie elektronicznej dowodu osobistego</w:t>
      </w:r>
      <w:r w:rsidRPr="00EE5854">
        <w:rPr>
          <w:rFonts w:ascii="Lato" w:hAnsi="Lato"/>
        </w:rPr>
        <w:t>, ich odblokowywania i zawieszania do polityki usługi zgodnej z normą PN-ETSI EN 319 411-1 i wprowadzenie tej polityki jako załącznika do projektowanego rozporządzenia.</w:t>
      </w:r>
      <w:r w:rsidR="008160AA" w:rsidRPr="00EE5854">
        <w:rPr>
          <w:rFonts w:ascii="Lato" w:hAnsi="Lato"/>
        </w:rPr>
        <w:t xml:space="preserve"> Przedmiotowa uwaga</w:t>
      </w:r>
      <w:r w:rsidR="0065592E" w:rsidRPr="00EE5854">
        <w:rPr>
          <w:rFonts w:ascii="Lato" w:hAnsi="Lato"/>
        </w:rPr>
        <w:t xml:space="preserve"> nie została uwzględniona. </w:t>
      </w:r>
      <w:r w:rsidR="008160AA" w:rsidRPr="00EE5854">
        <w:rPr>
          <w:rFonts w:ascii="Lato" w:hAnsi="Lato"/>
        </w:rPr>
        <w:t xml:space="preserve">Zagadnienia związane z wykorzystaniem dowodu osobistego </w:t>
      </w:r>
      <w:r w:rsidR="00F34679" w:rsidRPr="00EE5854">
        <w:rPr>
          <w:rFonts w:ascii="Lato" w:hAnsi="Lato"/>
        </w:rPr>
        <w:t xml:space="preserve">z warstwą elektroniczną </w:t>
      </w:r>
      <w:r w:rsidR="008160AA" w:rsidRPr="00EE5854">
        <w:rPr>
          <w:rFonts w:ascii="Lato" w:hAnsi="Lato"/>
        </w:rPr>
        <w:t xml:space="preserve">zostały </w:t>
      </w:r>
      <w:r w:rsidR="004854EC" w:rsidRPr="00EE5854">
        <w:rPr>
          <w:rFonts w:ascii="Lato" w:hAnsi="Lato"/>
        </w:rPr>
        <w:t xml:space="preserve">spójnie </w:t>
      </w:r>
      <w:r w:rsidR="00EF0703" w:rsidRPr="00EE5854">
        <w:rPr>
          <w:rFonts w:ascii="Lato" w:hAnsi="Lato"/>
        </w:rPr>
        <w:t xml:space="preserve">określone </w:t>
      </w:r>
      <w:r w:rsidR="00661F8C" w:rsidRPr="00EE5854">
        <w:rPr>
          <w:rFonts w:ascii="Lato" w:hAnsi="Lato"/>
        </w:rPr>
        <w:t>w</w:t>
      </w:r>
      <w:r w:rsidR="008160AA" w:rsidRPr="00EE5854">
        <w:rPr>
          <w:rFonts w:ascii="Lato" w:hAnsi="Lato"/>
        </w:rPr>
        <w:t xml:space="preserve"> </w:t>
      </w:r>
      <w:r w:rsidR="00661F8C" w:rsidRPr="00EE5854">
        <w:rPr>
          <w:rFonts w:ascii="Lato" w:hAnsi="Lato"/>
        </w:rPr>
        <w:t>u</w:t>
      </w:r>
      <w:r w:rsidR="008160AA" w:rsidRPr="00EE5854">
        <w:rPr>
          <w:rFonts w:ascii="Lato" w:hAnsi="Lato"/>
        </w:rPr>
        <w:t xml:space="preserve">stawie </w:t>
      </w:r>
      <w:r w:rsidR="00D66C7B" w:rsidRPr="00EE5854">
        <w:rPr>
          <w:rFonts w:ascii="Lato" w:hAnsi="Lato"/>
        </w:rPr>
        <w:t xml:space="preserve">z dnia 6 sierpnia 2010 r. </w:t>
      </w:r>
      <w:r w:rsidR="008160AA" w:rsidRPr="00EE5854">
        <w:rPr>
          <w:rFonts w:ascii="Lato" w:hAnsi="Lato"/>
          <w:i/>
        </w:rPr>
        <w:t>o dowodach osobistych</w:t>
      </w:r>
      <w:r w:rsidR="00D66C7B" w:rsidRPr="00EE5854">
        <w:rPr>
          <w:rFonts w:ascii="Lato" w:hAnsi="Lato"/>
        </w:rPr>
        <w:t xml:space="preserve"> (Dz. U. z 2022 r. poz. 671, z </w:t>
      </w:r>
      <w:proofErr w:type="spellStart"/>
      <w:r w:rsidR="00D66C7B" w:rsidRPr="00EE5854">
        <w:rPr>
          <w:rFonts w:ascii="Lato" w:hAnsi="Lato"/>
        </w:rPr>
        <w:t>późn</w:t>
      </w:r>
      <w:proofErr w:type="spellEnd"/>
      <w:r w:rsidR="00D66C7B" w:rsidRPr="00EE5854">
        <w:rPr>
          <w:rFonts w:ascii="Lato" w:hAnsi="Lato"/>
        </w:rPr>
        <w:t>. zm.)</w:t>
      </w:r>
      <w:r w:rsidR="008160AA" w:rsidRPr="00EE5854">
        <w:rPr>
          <w:rFonts w:ascii="Lato" w:hAnsi="Lato"/>
        </w:rPr>
        <w:t xml:space="preserve">, </w:t>
      </w:r>
      <w:r w:rsidR="00D66C7B" w:rsidRPr="00EE5854">
        <w:rPr>
          <w:rFonts w:ascii="Lato" w:hAnsi="Lato"/>
        </w:rPr>
        <w:t xml:space="preserve">dalej: </w:t>
      </w:r>
      <w:r w:rsidR="00D66C7B" w:rsidRPr="0076366B">
        <w:rPr>
          <w:rFonts w:ascii="Lato" w:hAnsi="Lato"/>
          <w:i/>
        </w:rPr>
        <w:t>„ustawa”,</w:t>
      </w:r>
      <w:r w:rsidR="00D66C7B" w:rsidRPr="00EE5854">
        <w:rPr>
          <w:rFonts w:ascii="Lato" w:hAnsi="Lato"/>
        </w:rPr>
        <w:t xml:space="preserve"> </w:t>
      </w:r>
      <w:r w:rsidR="008160AA" w:rsidRPr="00EE5854">
        <w:rPr>
          <w:rFonts w:ascii="Lato" w:hAnsi="Lato"/>
        </w:rPr>
        <w:t xml:space="preserve">aktach wykonawczych do </w:t>
      </w:r>
      <w:r w:rsidR="00D66C7B" w:rsidRPr="00EE5854">
        <w:rPr>
          <w:rFonts w:ascii="Lato" w:hAnsi="Lato"/>
        </w:rPr>
        <w:t>tej</w:t>
      </w:r>
      <w:r w:rsidR="008160AA" w:rsidRPr="00EE5854">
        <w:rPr>
          <w:rFonts w:ascii="Lato" w:hAnsi="Lato"/>
        </w:rPr>
        <w:t xml:space="preserve"> </w:t>
      </w:r>
      <w:r w:rsidR="00661F8C" w:rsidRPr="00EE5854">
        <w:rPr>
          <w:rFonts w:ascii="Lato" w:hAnsi="Lato"/>
        </w:rPr>
        <w:t>u</w:t>
      </w:r>
      <w:r w:rsidR="008160AA" w:rsidRPr="00EE5854">
        <w:rPr>
          <w:rFonts w:ascii="Lato" w:hAnsi="Lato"/>
        </w:rPr>
        <w:t xml:space="preserve">stawy </w:t>
      </w:r>
      <w:r w:rsidR="00D66C7B" w:rsidRPr="00EE5854">
        <w:rPr>
          <w:rFonts w:ascii="Lato" w:hAnsi="Lato"/>
        </w:rPr>
        <w:t>oraz</w:t>
      </w:r>
      <w:r w:rsidR="00333814" w:rsidRPr="00EE5854">
        <w:rPr>
          <w:rFonts w:ascii="Lato" w:hAnsi="Lato"/>
        </w:rPr>
        <w:t xml:space="preserve"> właśnie </w:t>
      </w:r>
      <w:r w:rsidR="00162F6F" w:rsidRPr="00EE5854">
        <w:rPr>
          <w:rFonts w:ascii="Lato" w:hAnsi="Lato"/>
        </w:rPr>
        <w:br/>
      </w:r>
      <w:r w:rsidR="00333814" w:rsidRPr="00EE5854">
        <w:rPr>
          <w:rFonts w:ascii="Lato" w:hAnsi="Lato"/>
        </w:rPr>
        <w:t xml:space="preserve">w </w:t>
      </w:r>
      <w:r w:rsidR="00162F6F" w:rsidRPr="0076366B">
        <w:rPr>
          <w:rFonts w:ascii="Lato" w:hAnsi="Lato"/>
          <w:i/>
        </w:rPr>
        <w:t>„</w:t>
      </w:r>
      <w:r w:rsidR="008160AA" w:rsidRPr="0076366B">
        <w:rPr>
          <w:rFonts w:ascii="Lato" w:hAnsi="Lato"/>
          <w:i/>
        </w:rPr>
        <w:t>Polityce świadczenia usług dla dowodu osobistego z warstwą elektronic</w:t>
      </w:r>
      <w:r w:rsidR="00456774" w:rsidRPr="0076366B">
        <w:rPr>
          <w:rFonts w:ascii="Lato" w:hAnsi="Lato"/>
          <w:i/>
        </w:rPr>
        <w:t>zną</w:t>
      </w:r>
      <w:r w:rsidR="00162F6F" w:rsidRPr="0076366B">
        <w:rPr>
          <w:rFonts w:ascii="Lato" w:hAnsi="Lato"/>
          <w:i/>
        </w:rPr>
        <w:t>”,</w:t>
      </w:r>
      <w:r w:rsidR="00162F6F" w:rsidRPr="00EE5854">
        <w:rPr>
          <w:rFonts w:ascii="Lato" w:hAnsi="Lato"/>
        </w:rPr>
        <w:t xml:space="preserve"> zwanej dalej: </w:t>
      </w:r>
      <w:r w:rsidR="00162F6F" w:rsidRPr="0076366B">
        <w:rPr>
          <w:rFonts w:ascii="Lato" w:hAnsi="Lato"/>
          <w:i/>
        </w:rPr>
        <w:t>„Polityką”</w:t>
      </w:r>
      <w:r w:rsidR="00333814" w:rsidRPr="0076366B">
        <w:rPr>
          <w:rFonts w:ascii="Lato" w:hAnsi="Lato"/>
          <w:i/>
        </w:rPr>
        <w:t>.</w:t>
      </w:r>
      <w:r w:rsidR="00333814" w:rsidRPr="00EE5854">
        <w:rPr>
          <w:rFonts w:ascii="Lato" w:hAnsi="Lato"/>
        </w:rPr>
        <w:t xml:space="preserve"> Wymóg określenia i opublikowania takiej </w:t>
      </w:r>
      <w:r w:rsidR="00162F6F" w:rsidRPr="00EE5854">
        <w:rPr>
          <w:rFonts w:ascii="Lato" w:hAnsi="Lato"/>
        </w:rPr>
        <w:t>p</w:t>
      </w:r>
      <w:r w:rsidR="00333814" w:rsidRPr="00EE5854">
        <w:rPr>
          <w:rFonts w:ascii="Lato" w:hAnsi="Lato"/>
        </w:rPr>
        <w:t xml:space="preserve">olityki wynika wprost z art. </w:t>
      </w:r>
      <w:r w:rsidR="00456774" w:rsidRPr="00EE5854">
        <w:rPr>
          <w:rFonts w:ascii="Lato" w:hAnsi="Lato"/>
        </w:rPr>
        <w:t xml:space="preserve">12i ustawy, </w:t>
      </w:r>
      <w:r w:rsidR="00333814" w:rsidRPr="00EE5854">
        <w:rPr>
          <w:rFonts w:ascii="Lato" w:hAnsi="Lato"/>
        </w:rPr>
        <w:t xml:space="preserve">który </w:t>
      </w:r>
      <w:r w:rsidR="004854EC" w:rsidRPr="00EE5854">
        <w:rPr>
          <w:rFonts w:ascii="Lato" w:hAnsi="Lato"/>
        </w:rPr>
        <w:t xml:space="preserve">m. in. </w:t>
      </w:r>
      <w:r w:rsidR="00333814" w:rsidRPr="00EE5854">
        <w:rPr>
          <w:rFonts w:ascii="Lato" w:hAnsi="Lato"/>
        </w:rPr>
        <w:t xml:space="preserve">wskazuje organ odpowiedzialny za </w:t>
      </w:r>
      <w:r w:rsidR="00162F6F" w:rsidRPr="00EE5854">
        <w:rPr>
          <w:rFonts w:ascii="Lato" w:hAnsi="Lato"/>
        </w:rPr>
        <w:t xml:space="preserve">jej </w:t>
      </w:r>
      <w:r w:rsidR="00333814" w:rsidRPr="00EE5854">
        <w:rPr>
          <w:rFonts w:ascii="Lato" w:hAnsi="Lato"/>
        </w:rPr>
        <w:t xml:space="preserve">określenie i opublikowanie tej polityki (minister właściwy do spraw wewnętrznych), miejsce jej publikacji </w:t>
      </w:r>
      <w:r w:rsidR="004854EC" w:rsidRPr="00EE5854">
        <w:rPr>
          <w:rFonts w:ascii="Lato" w:hAnsi="Lato"/>
        </w:rPr>
        <w:t xml:space="preserve">(Biuletyn Informacji Publicznej ww. ministra), jak również </w:t>
      </w:r>
      <w:r w:rsidR="004854EC" w:rsidRPr="00EE5854">
        <w:rPr>
          <w:rFonts w:ascii="Lato" w:hAnsi="Lato"/>
          <w:i/>
        </w:rPr>
        <w:t>expressis verbis</w:t>
      </w:r>
      <w:r w:rsidR="004854EC" w:rsidRPr="00EE5854">
        <w:rPr>
          <w:rFonts w:ascii="Lato" w:hAnsi="Lato"/>
        </w:rPr>
        <w:t xml:space="preserve"> definiuje jej zakres przedmiotowy (techniczne i organizacyjne rozwiązania dotyczące sposobu, zakresu oraz warunków tworzenia,  wydawania i używania certyfikatów). </w:t>
      </w:r>
      <w:r w:rsidR="008160AA" w:rsidRPr="00EE5854">
        <w:rPr>
          <w:rFonts w:ascii="Lato" w:hAnsi="Lato"/>
        </w:rPr>
        <w:t xml:space="preserve">Odwołanie do polityki znajduje się również w treści samych certyfikatów, co wynika z art. 12e </w:t>
      </w:r>
      <w:r w:rsidR="004854EC" w:rsidRPr="00EE5854">
        <w:rPr>
          <w:rFonts w:ascii="Lato" w:hAnsi="Lato"/>
        </w:rPr>
        <w:t>u</w:t>
      </w:r>
      <w:r w:rsidR="008160AA" w:rsidRPr="00EE5854">
        <w:rPr>
          <w:rFonts w:ascii="Lato" w:hAnsi="Lato"/>
        </w:rPr>
        <w:t xml:space="preserve">stawy. </w:t>
      </w:r>
      <w:r w:rsidR="0036690B" w:rsidRPr="00EE5854">
        <w:rPr>
          <w:rFonts w:ascii="Lato" w:hAnsi="Lato"/>
        </w:rPr>
        <w:t>W efekcie w BIP na stronie podmiotowej MSWiA jest o</w:t>
      </w:r>
      <w:r w:rsidR="004854EC" w:rsidRPr="00EE5854">
        <w:rPr>
          <w:rFonts w:ascii="Lato" w:hAnsi="Lato"/>
        </w:rPr>
        <w:t xml:space="preserve">publikowana </w:t>
      </w:r>
      <w:r w:rsidR="0036690B" w:rsidRPr="00EE5854">
        <w:rPr>
          <w:rFonts w:ascii="Lato" w:hAnsi="Lato"/>
        </w:rPr>
        <w:t xml:space="preserve">ww. </w:t>
      </w:r>
      <w:r w:rsidR="008160AA" w:rsidRPr="00EE5854">
        <w:rPr>
          <w:rFonts w:ascii="Lato" w:hAnsi="Lato"/>
        </w:rPr>
        <w:t>Polityka</w:t>
      </w:r>
      <w:r w:rsidR="0036690B" w:rsidRPr="00EE5854">
        <w:rPr>
          <w:rFonts w:ascii="Lato" w:hAnsi="Lato"/>
        </w:rPr>
        <w:t xml:space="preserve">, która </w:t>
      </w:r>
      <w:r w:rsidR="008160AA" w:rsidRPr="00EE5854">
        <w:rPr>
          <w:rFonts w:ascii="Lato" w:hAnsi="Lato"/>
        </w:rPr>
        <w:t>została opracowana zgodnie z wyma</w:t>
      </w:r>
      <w:r w:rsidR="00162F6F" w:rsidRPr="00EE5854">
        <w:rPr>
          <w:rFonts w:ascii="Lato" w:hAnsi="Lato"/>
        </w:rPr>
        <w:t>ganiami normy ETSI EN 319 411‐1</w:t>
      </w:r>
      <w:r w:rsidR="008160AA" w:rsidRPr="00EE5854">
        <w:rPr>
          <w:rFonts w:ascii="Lato" w:hAnsi="Lato"/>
        </w:rPr>
        <w:t xml:space="preserve">, i zawiera deklarację zgodności ze wskazaną normą (rozdział 1. Wstęp). Zagadnienia związane z zasadami używania certyfikatu i pary kluczy, zawieszenie, cofnięcie zawieszenia i unieważnienie certyfikatu są opisane w </w:t>
      </w:r>
      <w:r w:rsidR="004854EC" w:rsidRPr="00EE5854">
        <w:rPr>
          <w:rFonts w:ascii="Lato" w:hAnsi="Lato"/>
        </w:rPr>
        <w:t>P</w:t>
      </w:r>
      <w:r w:rsidR="008160AA" w:rsidRPr="00EE5854">
        <w:rPr>
          <w:rFonts w:ascii="Lato" w:hAnsi="Lato"/>
        </w:rPr>
        <w:t>olityce w stosownych rozdziałach (4.5-5.0)</w:t>
      </w:r>
      <w:r w:rsidR="0036690B" w:rsidRPr="00EE5854">
        <w:rPr>
          <w:rFonts w:ascii="Lato" w:hAnsi="Lato"/>
        </w:rPr>
        <w:t>,</w:t>
      </w:r>
      <w:r w:rsidR="008160AA" w:rsidRPr="00EE5854">
        <w:rPr>
          <w:rFonts w:ascii="Lato" w:hAnsi="Lato"/>
        </w:rPr>
        <w:t xml:space="preserve"> uwzględniając fakt związania wydanych </w:t>
      </w:r>
      <w:r w:rsidR="004854EC" w:rsidRPr="00EE5854">
        <w:rPr>
          <w:rFonts w:ascii="Lato" w:hAnsi="Lato"/>
        </w:rPr>
        <w:t>certyfikatów</w:t>
      </w:r>
      <w:r w:rsidR="008160AA" w:rsidRPr="00EE5854">
        <w:rPr>
          <w:rFonts w:ascii="Lato" w:hAnsi="Lato"/>
        </w:rPr>
        <w:t xml:space="preserve"> z dowodem osobistym i jego statusem ważności. Tym samym </w:t>
      </w:r>
      <w:r w:rsidR="0036690B" w:rsidRPr="00EE5854">
        <w:rPr>
          <w:rFonts w:ascii="Lato" w:hAnsi="Lato"/>
        </w:rPr>
        <w:t>określanie na poziomie rozporządzenia kolejnej polityki nie</w:t>
      </w:r>
      <w:r w:rsidR="008160AA" w:rsidRPr="00EE5854">
        <w:rPr>
          <w:rFonts w:ascii="Lato" w:hAnsi="Lato"/>
        </w:rPr>
        <w:t xml:space="preserve"> wydaje się </w:t>
      </w:r>
      <w:r w:rsidR="0036690B" w:rsidRPr="00EE5854">
        <w:rPr>
          <w:rFonts w:ascii="Lato" w:hAnsi="Lato"/>
        </w:rPr>
        <w:t>zasadne.</w:t>
      </w:r>
      <w:r w:rsidR="008160AA" w:rsidRPr="00EE5854">
        <w:rPr>
          <w:rFonts w:ascii="Lato" w:hAnsi="Lato"/>
        </w:rPr>
        <w:t xml:space="preserve"> </w:t>
      </w:r>
    </w:p>
    <w:p w14:paraId="5990F831" w14:textId="65B4C387" w:rsidR="00EE5854" w:rsidRPr="0055688A" w:rsidRDefault="00CA57B7" w:rsidP="0055688A">
      <w:pPr>
        <w:spacing w:after="80"/>
        <w:jc w:val="both"/>
        <w:rPr>
          <w:rFonts w:ascii="Lato" w:hAnsi="Lato"/>
        </w:rPr>
      </w:pPr>
      <w:r w:rsidRPr="00CA57B7">
        <w:rPr>
          <w:rFonts w:ascii="Lato" w:hAnsi="Lato"/>
        </w:rPr>
        <w:t>Większość ze</w:t>
      </w:r>
      <w:r w:rsidR="007E79F6" w:rsidRPr="0055688A">
        <w:rPr>
          <w:rFonts w:ascii="Lato" w:hAnsi="Lato"/>
        </w:rPr>
        <w:t xml:space="preserve"> zgłoszonych uwag </w:t>
      </w:r>
      <w:r w:rsidR="0036690B">
        <w:rPr>
          <w:rFonts w:ascii="Lato" w:hAnsi="Lato"/>
        </w:rPr>
        <w:t>odnosiła się do</w:t>
      </w:r>
      <w:r w:rsidR="007E79F6" w:rsidRPr="0055688A">
        <w:rPr>
          <w:rFonts w:ascii="Lato" w:hAnsi="Lato"/>
        </w:rPr>
        <w:t xml:space="preserve"> uregulowań zawartych w § 2 projektu, który dotyczy ogólnych wymogów dla warstwy elektronicznej dowodu </w:t>
      </w:r>
      <w:r w:rsidR="0055688A" w:rsidRPr="0055688A">
        <w:rPr>
          <w:rFonts w:ascii="Lato" w:hAnsi="Lato"/>
        </w:rPr>
        <w:t xml:space="preserve">osobistego. </w:t>
      </w:r>
      <w:r w:rsidR="0055688A">
        <w:rPr>
          <w:rFonts w:ascii="Lato" w:hAnsi="Lato"/>
        </w:rPr>
        <w:t xml:space="preserve">Część </w:t>
      </w:r>
      <w:r w:rsidR="00853159">
        <w:rPr>
          <w:rFonts w:ascii="Lato" w:hAnsi="Lato"/>
        </w:rPr>
        <w:t xml:space="preserve">z </w:t>
      </w:r>
      <w:r w:rsidR="0036690B">
        <w:rPr>
          <w:rFonts w:ascii="Lato" w:hAnsi="Lato"/>
        </w:rPr>
        <w:t>tych uwag</w:t>
      </w:r>
      <w:r w:rsidR="0055688A">
        <w:rPr>
          <w:rFonts w:ascii="Lato" w:hAnsi="Lato"/>
        </w:rPr>
        <w:t xml:space="preserve"> </w:t>
      </w:r>
      <w:r w:rsidR="0055688A" w:rsidRPr="0055688A">
        <w:rPr>
          <w:rFonts w:ascii="Lato" w:hAnsi="Lato"/>
        </w:rPr>
        <w:t>została uwzględniona</w:t>
      </w:r>
      <w:r w:rsidR="00853159">
        <w:rPr>
          <w:rFonts w:ascii="Lato" w:hAnsi="Lato"/>
        </w:rPr>
        <w:t>,</w:t>
      </w:r>
      <w:r w:rsidR="0055688A" w:rsidRPr="0055688A">
        <w:rPr>
          <w:rFonts w:ascii="Lato" w:hAnsi="Lato"/>
        </w:rPr>
        <w:t xml:space="preserve"> </w:t>
      </w:r>
      <w:r w:rsidR="0055688A">
        <w:rPr>
          <w:rFonts w:ascii="Lato" w:hAnsi="Lato"/>
        </w:rPr>
        <w:t xml:space="preserve">np. w zakresie wątpliwości </w:t>
      </w:r>
      <w:r w:rsidR="00853159" w:rsidRPr="00533546">
        <w:rPr>
          <w:rFonts w:ascii="Lato" w:hAnsi="Lato"/>
          <w:b/>
        </w:rPr>
        <w:t>UODO</w:t>
      </w:r>
      <w:r w:rsidR="00853159">
        <w:rPr>
          <w:rFonts w:ascii="Lato" w:hAnsi="Lato"/>
        </w:rPr>
        <w:t xml:space="preserve"> oraz </w:t>
      </w:r>
      <w:r w:rsidR="00853159" w:rsidRPr="00533546">
        <w:rPr>
          <w:rFonts w:ascii="Lato" w:hAnsi="Lato"/>
          <w:b/>
        </w:rPr>
        <w:t>KT nr 182</w:t>
      </w:r>
      <w:r w:rsidR="00853159">
        <w:rPr>
          <w:rFonts w:ascii="Lato" w:hAnsi="Lato"/>
        </w:rPr>
        <w:t xml:space="preserve"> </w:t>
      </w:r>
      <w:r w:rsidR="0055688A">
        <w:rPr>
          <w:rFonts w:ascii="Lato" w:hAnsi="Lato"/>
        </w:rPr>
        <w:t xml:space="preserve">co do użytego w </w:t>
      </w:r>
      <w:r w:rsidR="00853159">
        <w:rPr>
          <w:rFonts w:ascii="Lato" w:hAnsi="Lato"/>
        </w:rPr>
        <w:t xml:space="preserve">§ 2 ust. 1 pkt 6 projektu sformułowania: </w:t>
      </w:r>
      <w:r w:rsidR="00853159" w:rsidRPr="00853159">
        <w:rPr>
          <w:rFonts w:ascii="Lato" w:hAnsi="Lato"/>
          <w:i/>
        </w:rPr>
        <w:t>„szyfrowane połączenie”</w:t>
      </w:r>
      <w:r w:rsidR="00853159">
        <w:rPr>
          <w:rFonts w:ascii="Lato" w:hAnsi="Lato"/>
          <w:i/>
        </w:rPr>
        <w:t>,</w:t>
      </w:r>
      <w:r w:rsidR="00853159">
        <w:rPr>
          <w:rFonts w:ascii="Lato" w:hAnsi="Lato"/>
        </w:rPr>
        <w:t xml:space="preserve"> </w:t>
      </w:r>
      <w:r w:rsidR="0055688A" w:rsidRPr="0055688A">
        <w:rPr>
          <w:rFonts w:ascii="Lato" w:hAnsi="Lato"/>
        </w:rPr>
        <w:t>wprowadz</w:t>
      </w:r>
      <w:r w:rsidR="00853159">
        <w:rPr>
          <w:rFonts w:ascii="Lato" w:hAnsi="Lato"/>
        </w:rPr>
        <w:t>one zostały</w:t>
      </w:r>
      <w:r w:rsidR="0055688A" w:rsidRPr="0055688A">
        <w:rPr>
          <w:rFonts w:ascii="Lato" w:hAnsi="Lato"/>
        </w:rPr>
        <w:t xml:space="preserve"> stosown</w:t>
      </w:r>
      <w:r w:rsidR="00853159">
        <w:rPr>
          <w:rFonts w:ascii="Lato" w:hAnsi="Lato"/>
        </w:rPr>
        <w:t>e</w:t>
      </w:r>
      <w:r w:rsidR="0055688A" w:rsidRPr="0055688A">
        <w:rPr>
          <w:rFonts w:ascii="Lato" w:hAnsi="Lato"/>
        </w:rPr>
        <w:t xml:space="preserve"> zmian</w:t>
      </w:r>
      <w:r w:rsidR="00853159">
        <w:rPr>
          <w:rFonts w:ascii="Lato" w:hAnsi="Lato"/>
        </w:rPr>
        <w:t>y w projekcie.</w:t>
      </w:r>
      <w:r w:rsidR="0055688A" w:rsidRPr="0055688A">
        <w:rPr>
          <w:rFonts w:ascii="Lato" w:hAnsi="Lato"/>
        </w:rPr>
        <w:t xml:space="preserve"> </w:t>
      </w:r>
      <w:r w:rsidR="00EE5854">
        <w:rPr>
          <w:rFonts w:ascii="Lato" w:hAnsi="Lato"/>
        </w:rPr>
        <w:t>Pozostałe uwagi nie zostały uwzględnione, tj.:</w:t>
      </w:r>
    </w:p>
    <w:p w14:paraId="73331C13" w14:textId="519E33A8" w:rsidR="005A7484" w:rsidRPr="005E4D33" w:rsidRDefault="00EE5854" w:rsidP="004A4B18">
      <w:pPr>
        <w:pStyle w:val="Akapitzlist"/>
        <w:numPr>
          <w:ilvl w:val="0"/>
          <w:numId w:val="6"/>
        </w:numPr>
        <w:spacing w:after="80"/>
        <w:ind w:left="142" w:hanging="142"/>
        <w:jc w:val="both"/>
        <w:rPr>
          <w:rFonts w:ascii="Lato" w:hAnsi="Lato"/>
          <w:u w:val="single"/>
        </w:rPr>
      </w:pPr>
      <w:r w:rsidRPr="005E4D33">
        <w:rPr>
          <w:rFonts w:ascii="Lato" w:hAnsi="Lato"/>
          <w:u w:val="single"/>
        </w:rPr>
        <w:t xml:space="preserve">postulat </w:t>
      </w:r>
      <w:r w:rsidR="00AC3A05" w:rsidRPr="005E4D33">
        <w:rPr>
          <w:rFonts w:ascii="Lato" w:hAnsi="Lato"/>
          <w:b/>
          <w:u w:val="single"/>
        </w:rPr>
        <w:t>UODO oraz KT nr 182</w:t>
      </w:r>
      <w:r w:rsidR="00AC3A05" w:rsidRPr="005E4D33">
        <w:rPr>
          <w:rFonts w:ascii="Lato" w:hAnsi="Lato"/>
          <w:u w:val="single"/>
        </w:rPr>
        <w:t xml:space="preserve"> przywrócenia górnego limitu cyfr d</w:t>
      </w:r>
      <w:r w:rsidR="005A7484" w:rsidRPr="005E4D33">
        <w:rPr>
          <w:rFonts w:ascii="Lato" w:hAnsi="Lato"/>
          <w:u w:val="single"/>
        </w:rPr>
        <w:t>la długości kodu PIN1 oraz PIN2</w:t>
      </w:r>
    </w:p>
    <w:p w14:paraId="65CB4ED6" w14:textId="77777777" w:rsidR="005E4D33" w:rsidRDefault="00AC3A05" w:rsidP="005E4D33">
      <w:pPr>
        <w:spacing w:after="80"/>
        <w:ind w:left="142"/>
        <w:jc w:val="both"/>
        <w:rPr>
          <w:rFonts w:ascii="Lato" w:hAnsi="Lato"/>
        </w:rPr>
      </w:pPr>
      <w:r w:rsidRPr="00E0384A">
        <w:rPr>
          <w:rFonts w:ascii="Lato" w:hAnsi="Lato"/>
        </w:rPr>
        <w:t xml:space="preserve">Realizacja tej propozycji byłaby kierunkowo sprzeczna z rozwiązaniami przyjętymi na gruncie obecnie obowiązującego rozporządzenia, którego kształt uległ zmianie wskutek jego nowelizacji w 2021 r. Pierwotnie rozporządzenie Ministra Spraw Wewnętrznych </w:t>
      </w:r>
      <w:r w:rsidR="004A4B18">
        <w:rPr>
          <w:rFonts w:ascii="Lato" w:hAnsi="Lato"/>
        </w:rPr>
        <w:br/>
      </w:r>
      <w:r w:rsidRPr="00E0384A">
        <w:rPr>
          <w:rFonts w:ascii="Lato" w:hAnsi="Lato"/>
        </w:rPr>
        <w:t xml:space="preserve">i Administracji z dnia 26 lutego 2019 r. </w:t>
      </w:r>
      <w:r w:rsidRPr="00E0384A">
        <w:rPr>
          <w:rFonts w:ascii="Lato" w:hAnsi="Lato"/>
          <w:i/>
        </w:rPr>
        <w:t>w sprawie warstwy elektronicznej dowodu osobistego</w:t>
      </w:r>
      <w:r w:rsidRPr="00E0384A">
        <w:rPr>
          <w:rFonts w:ascii="Lato" w:hAnsi="Lato"/>
        </w:rPr>
        <w:t xml:space="preserve"> (Dz. U. z 2022 r. poz. 1431) w § </w:t>
      </w:r>
      <w:r w:rsidR="0036690B">
        <w:rPr>
          <w:rFonts w:ascii="Lato" w:hAnsi="Lato"/>
        </w:rPr>
        <w:t>2 ust. 1 pkt 1 zawierało zapis:</w:t>
      </w:r>
      <w:r w:rsidRPr="00E0384A">
        <w:rPr>
          <w:rFonts w:ascii="Lato" w:hAnsi="Lato"/>
        </w:rPr>
        <w:t xml:space="preserve"> </w:t>
      </w:r>
      <w:r w:rsidRPr="00E0384A">
        <w:rPr>
          <w:rFonts w:ascii="Lato" w:hAnsi="Lato"/>
          <w:i/>
        </w:rPr>
        <w:t>„1) obsługuje</w:t>
      </w:r>
      <w:r w:rsidR="005E4D33">
        <w:rPr>
          <w:rFonts w:ascii="Lato" w:hAnsi="Lato"/>
          <w:i/>
        </w:rPr>
        <w:t xml:space="preserve"> kody o długości od 4 do 8 cyfr</w:t>
      </w:r>
      <w:r w:rsidRPr="00E0384A">
        <w:rPr>
          <w:rFonts w:ascii="Lato" w:hAnsi="Lato"/>
          <w:i/>
        </w:rPr>
        <w:t>(…)”</w:t>
      </w:r>
      <w:r w:rsidR="00782E30" w:rsidRPr="00E0384A">
        <w:rPr>
          <w:rFonts w:ascii="Lato" w:hAnsi="Lato"/>
          <w:i/>
        </w:rPr>
        <w:t>.</w:t>
      </w:r>
      <w:r w:rsidRPr="00E0384A">
        <w:rPr>
          <w:rFonts w:ascii="Lato" w:hAnsi="Lato"/>
          <w:i/>
        </w:rPr>
        <w:t xml:space="preserve"> </w:t>
      </w:r>
      <w:r w:rsidR="00782E30" w:rsidRPr="00E0384A">
        <w:rPr>
          <w:rFonts w:ascii="Lato" w:hAnsi="Lato"/>
        </w:rPr>
        <w:t>N</w:t>
      </w:r>
      <w:r w:rsidRPr="00E0384A">
        <w:rPr>
          <w:rFonts w:ascii="Lato" w:hAnsi="Lato"/>
        </w:rPr>
        <w:t xml:space="preserve">iemniej rozporządzeniem Ministra Spraw Wewnętrznych i Administracji </w:t>
      </w:r>
      <w:r w:rsidR="004A4B18">
        <w:rPr>
          <w:rFonts w:ascii="Lato" w:hAnsi="Lato"/>
        </w:rPr>
        <w:br/>
      </w:r>
      <w:r w:rsidRPr="00E0384A">
        <w:rPr>
          <w:rFonts w:ascii="Lato" w:hAnsi="Lato"/>
        </w:rPr>
        <w:t xml:space="preserve">z dnia 29 września 2021 r. </w:t>
      </w:r>
      <w:r w:rsidRPr="00E0384A">
        <w:rPr>
          <w:rFonts w:ascii="Lato" w:hAnsi="Lato"/>
          <w:i/>
        </w:rPr>
        <w:t>zmieniającym rozporządzenie w sprawie warstwy elektronicznej dowodu osobistego</w:t>
      </w:r>
      <w:r w:rsidR="00782E30" w:rsidRPr="00E0384A">
        <w:rPr>
          <w:rFonts w:ascii="Lato" w:hAnsi="Lato"/>
        </w:rPr>
        <w:t xml:space="preserve"> (Dz. U. z 2021 r. poz. 1831), opis długości kodu PIN dla poszczególnych funkcjonalności został zmieniony przez wskazanie wyłącznie </w:t>
      </w:r>
      <w:r w:rsidR="00E0384A">
        <w:rPr>
          <w:rFonts w:ascii="Lato" w:hAnsi="Lato"/>
        </w:rPr>
        <w:t xml:space="preserve">ich </w:t>
      </w:r>
      <w:r w:rsidR="00782E30" w:rsidRPr="00E0384A">
        <w:rPr>
          <w:rFonts w:ascii="Lato" w:hAnsi="Lato"/>
        </w:rPr>
        <w:t xml:space="preserve">minimalnej długości, </w:t>
      </w:r>
      <w:r w:rsidR="004A4B18">
        <w:rPr>
          <w:rFonts w:ascii="Lato" w:hAnsi="Lato"/>
        </w:rPr>
        <w:br/>
      </w:r>
      <w:r w:rsidR="00782E30" w:rsidRPr="00E0384A">
        <w:rPr>
          <w:rFonts w:ascii="Lato" w:hAnsi="Lato"/>
        </w:rPr>
        <w:t xml:space="preserve">co wynikało ze zmiany funkcjonalności dowodu osobistego. </w:t>
      </w:r>
      <w:r w:rsidR="00E0384A">
        <w:rPr>
          <w:rFonts w:ascii="Lato" w:hAnsi="Lato"/>
        </w:rPr>
        <w:t>Ponadto o</w:t>
      </w:r>
      <w:r w:rsidR="00782E30" w:rsidRPr="00E0384A">
        <w:rPr>
          <w:rFonts w:ascii="Lato" w:hAnsi="Lato"/>
        </w:rPr>
        <w:t>graniczenie związane</w:t>
      </w:r>
      <w:r w:rsidR="004A4B18">
        <w:rPr>
          <w:rFonts w:ascii="Lato" w:hAnsi="Lato"/>
        </w:rPr>
        <w:br/>
      </w:r>
      <w:r w:rsidR="00782E30" w:rsidRPr="00E0384A">
        <w:rPr>
          <w:rFonts w:ascii="Lato" w:hAnsi="Lato"/>
        </w:rPr>
        <w:t xml:space="preserve">z maksymalną długością kodów PIN zostało przeniesione do warstwy aplikacji obsługującej </w:t>
      </w:r>
      <w:r w:rsidR="004A4B18">
        <w:rPr>
          <w:rFonts w:ascii="Lato" w:hAnsi="Lato"/>
        </w:rPr>
        <w:br/>
      </w:r>
      <w:r w:rsidR="00782E30" w:rsidRPr="00E0384A">
        <w:rPr>
          <w:rFonts w:ascii="Lato" w:hAnsi="Lato"/>
        </w:rPr>
        <w:t xml:space="preserve">e-dowód z dwiema cechami biometrycznymi z poziomu użytkownika, zaś przedmiotowe wartości zostały odwzorowane w dokumentacji technicznej. Brak określenia maksymalnej długości kodów PIN dotyczących samej warstwy elektronicznej nie wpływa na bezpieczeństwo rozwiązania, </w:t>
      </w:r>
      <w:r w:rsidR="00E0384A">
        <w:rPr>
          <w:rFonts w:ascii="Lato" w:hAnsi="Lato"/>
        </w:rPr>
        <w:t>o którym</w:t>
      </w:r>
      <w:r w:rsidR="00782E30" w:rsidRPr="00E0384A">
        <w:rPr>
          <w:rFonts w:ascii="Lato" w:hAnsi="Lato"/>
        </w:rPr>
        <w:t xml:space="preserve"> decyduje minimalna wartość długości</w:t>
      </w:r>
      <w:r w:rsidR="005E4D33">
        <w:rPr>
          <w:rFonts w:ascii="Lato" w:hAnsi="Lato"/>
        </w:rPr>
        <w:t xml:space="preserve"> kodu PIN.</w:t>
      </w:r>
    </w:p>
    <w:p w14:paraId="07B64F5F" w14:textId="77777777" w:rsidR="00FB0BB3" w:rsidRDefault="00FB0BB3" w:rsidP="005E4D33">
      <w:pPr>
        <w:spacing w:after="80"/>
        <w:ind w:left="142"/>
        <w:jc w:val="both"/>
        <w:rPr>
          <w:rFonts w:ascii="Lato" w:hAnsi="Lato"/>
        </w:rPr>
      </w:pPr>
    </w:p>
    <w:p w14:paraId="780F99B1" w14:textId="77777777" w:rsidR="00FB0BB3" w:rsidRDefault="00FB0BB3" w:rsidP="005E4D33">
      <w:pPr>
        <w:spacing w:after="80"/>
        <w:ind w:left="142"/>
        <w:jc w:val="both"/>
        <w:rPr>
          <w:rFonts w:ascii="Lato" w:hAnsi="Lato"/>
        </w:rPr>
      </w:pPr>
    </w:p>
    <w:p w14:paraId="38CB5F07" w14:textId="14644582" w:rsidR="005A7484" w:rsidRPr="005E4D33" w:rsidRDefault="005A7484" w:rsidP="005E4D33">
      <w:pPr>
        <w:pStyle w:val="Akapitzlist"/>
        <w:numPr>
          <w:ilvl w:val="0"/>
          <w:numId w:val="6"/>
        </w:numPr>
        <w:spacing w:after="80"/>
        <w:ind w:left="142" w:hanging="142"/>
        <w:jc w:val="both"/>
        <w:rPr>
          <w:rFonts w:ascii="Lato" w:hAnsi="Lato"/>
          <w:i/>
          <w:u w:val="single"/>
        </w:rPr>
      </w:pPr>
      <w:r w:rsidRPr="005E4D33">
        <w:rPr>
          <w:rFonts w:ascii="Lato" w:hAnsi="Lato"/>
          <w:u w:val="single"/>
        </w:rPr>
        <w:lastRenderedPageBreak/>
        <w:t>propozycja</w:t>
      </w:r>
      <w:r w:rsidRPr="005E4D33">
        <w:rPr>
          <w:rFonts w:ascii="Lato" w:hAnsi="Lato"/>
          <w:b/>
          <w:u w:val="single"/>
        </w:rPr>
        <w:t xml:space="preserve"> </w:t>
      </w:r>
      <w:r w:rsidR="00E0384A" w:rsidRPr="005E4D33">
        <w:rPr>
          <w:rFonts w:ascii="Lato" w:hAnsi="Lato"/>
          <w:b/>
          <w:u w:val="single"/>
        </w:rPr>
        <w:t>KT nr 182</w:t>
      </w:r>
      <w:r w:rsidR="00E0384A" w:rsidRPr="005E4D33">
        <w:rPr>
          <w:rFonts w:ascii="Lato" w:hAnsi="Lato"/>
          <w:u w:val="single"/>
        </w:rPr>
        <w:t xml:space="preserve"> uzupełnieni</w:t>
      </w:r>
      <w:r w:rsidRPr="005E4D33">
        <w:rPr>
          <w:rFonts w:ascii="Lato" w:hAnsi="Lato"/>
          <w:u w:val="single"/>
        </w:rPr>
        <w:t>a</w:t>
      </w:r>
      <w:r w:rsidR="00E0384A" w:rsidRPr="005E4D33">
        <w:rPr>
          <w:rFonts w:ascii="Lato" w:hAnsi="Lato"/>
          <w:u w:val="single"/>
        </w:rPr>
        <w:t xml:space="preserve"> </w:t>
      </w:r>
      <w:r w:rsidR="003E3D73" w:rsidRPr="005E4D33">
        <w:rPr>
          <w:rFonts w:ascii="Lato" w:hAnsi="Lato"/>
          <w:u w:val="single"/>
        </w:rPr>
        <w:t xml:space="preserve">sformułowania: </w:t>
      </w:r>
      <w:r w:rsidR="003E3D73" w:rsidRPr="005E4D33">
        <w:rPr>
          <w:rFonts w:ascii="Lato" w:hAnsi="Lato"/>
          <w:i/>
          <w:u w:val="single"/>
        </w:rPr>
        <w:t xml:space="preserve">„długości minimalnej 4 cyfr” </w:t>
      </w:r>
      <w:r w:rsidR="003E3D73" w:rsidRPr="005E4D33">
        <w:rPr>
          <w:rFonts w:ascii="Lato" w:hAnsi="Lato"/>
          <w:u w:val="single"/>
        </w:rPr>
        <w:t xml:space="preserve">(§ 2 ust. 1 pkt 1 projektu) o zwrot: </w:t>
      </w:r>
      <w:r w:rsidRPr="005E4D33">
        <w:rPr>
          <w:rFonts w:ascii="Lato" w:hAnsi="Lato"/>
          <w:i/>
          <w:u w:val="single"/>
        </w:rPr>
        <w:t>„dziesiętnych”</w:t>
      </w:r>
    </w:p>
    <w:p w14:paraId="774D37E4" w14:textId="5A9B6588" w:rsidR="00753A61" w:rsidRDefault="00753A61" w:rsidP="004A4B18">
      <w:pPr>
        <w:spacing w:after="80"/>
        <w:ind w:left="142"/>
        <w:jc w:val="both"/>
        <w:rPr>
          <w:rFonts w:ascii="Lato" w:hAnsi="Lato"/>
        </w:rPr>
      </w:pPr>
      <w:r>
        <w:rPr>
          <w:rFonts w:ascii="Lato" w:hAnsi="Lato"/>
        </w:rPr>
        <w:t xml:space="preserve">Postulat </w:t>
      </w:r>
      <w:r w:rsidRPr="00753A61">
        <w:rPr>
          <w:rFonts w:ascii="Lato" w:hAnsi="Lato"/>
        </w:rPr>
        <w:t xml:space="preserve">ma charakter </w:t>
      </w:r>
      <w:r w:rsidRPr="00753A61">
        <w:rPr>
          <w:rFonts w:ascii="Lato" w:hAnsi="Lato"/>
          <w:i/>
        </w:rPr>
        <w:t>stricte</w:t>
      </w:r>
      <w:r w:rsidRPr="00753A61">
        <w:rPr>
          <w:rFonts w:ascii="Lato" w:hAnsi="Lato"/>
        </w:rPr>
        <w:t xml:space="preserve"> formalno-prawny </w:t>
      </w:r>
      <w:r>
        <w:rPr>
          <w:rFonts w:ascii="Lato" w:hAnsi="Lato"/>
        </w:rPr>
        <w:t>i z</w:t>
      </w:r>
      <w:r w:rsidR="00D41877">
        <w:rPr>
          <w:rFonts w:ascii="Lato" w:hAnsi="Lato"/>
        </w:rPr>
        <w:t xml:space="preserve"> uwagi na spójności systemu prawa </w:t>
      </w:r>
      <w:r w:rsidR="005E4D33">
        <w:rPr>
          <w:rFonts w:ascii="Lato" w:hAnsi="Lato"/>
        </w:rPr>
        <w:br/>
      </w:r>
      <w:r w:rsidR="00D41877">
        <w:rPr>
          <w:rFonts w:ascii="Lato" w:hAnsi="Lato"/>
        </w:rPr>
        <w:t xml:space="preserve">w obszarze wydawania dowodów osobistych nie został uwzględniony. Już obecnie w ustawie jest odwołanie do cyfr bez odwoływania do systemu dziesiętnego (art. 2 ust. 1 pkt 6). </w:t>
      </w:r>
      <w:r w:rsidR="00D41877" w:rsidRPr="0036690B">
        <w:rPr>
          <w:rFonts w:ascii="Lato" w:hAnsi="Lato"/>
        </w:rPr>
        <w:t>Ponadto</w:t>
      </w:r>
      <w:r w:rsidR="003E3D73" w:rsidRPr="0036690B">
        <w:rPr>
          <w:rFonts w:ascii="Lato" w:hAnsi="Lato"/>
        </w:rPr>
        <w:t xml:space="preserve"> powszechn</w:t>
      </w:r>
      <w:r w:rsidR="00D41877" w:rsidRPr="0036690B">
        <w:rPr>
          <w:rFonts w:ascii="Lato" w:hAnsi="Lato"/>
        </w:rPr>
        <w:t>e jest</w:t>
      </w:r>
      <w:r w:rsidR="003E3D73" w:rsidRPr="0036690B">
        <w:rPr>
          <w:rFonts w:ascii="Lato" w:hAnsi="Lato"/>
        </w:rPr>
        <w:t xml:space="preserve"> wykorzystywan</w:t>
      </w:r>
      <w:r w:rsidR="00D41877" w:rsidRPr="0036690B">
        <w:rPr>
          <w:rFonts w:ascii="Lato" w:hAnsi="Lato"/>
        </w:rPr>
        <w:t>ie</w:t>
      </w:r>
      <w:r w:rsidR="003E3D73" w:rsidRPr="0036690B">
        <w:rPr>
          <w:rFonts w:ascii="Lato" w:hAnsi="Lato"/>
        </w:rPr>
        <w:t xml:space="preserve"> cyfry z katalogu znaków arabskich, służące do zapisu liczb w systemie dziesiętnym. </w:t>
      </w:r>
    </w:p>
    <w:p w14:paraId="4A28A705" w14:textId="7EA23668" w:rsidR="004A4B18" w:rsidRPr="005E4D33" w:rsidRDefault="005A7484" w:rsidP="004A4B18">
      <w:pPr>
        <w:pStyle w:val="Akapitzlist"/>
        <w:numPr>
          <w:ilvl w:val="0"/>
          <w:numId w:val="7"/>
        </w:numPr>
        <w:spacing w:after="80"/>
        <w:ind w:left="142" w:hanging="142"/>
        <w:jc w:val="both"/>
        <w:rPr>
          <w:rFonts w:ascii="Lato" w:hAnsi="Lato"/>
          <w:u w:val="single"/>
        </w:rPr>
      </w:pPr>
      <w:r w:rsidRPr="005E4D33">
        <w:rPr>
          <w:rFonts w:ascii="Lato" w:hAnsi="Lato"/>
          <w:u w:val="single"/>
        </w:rPr>
        <w:t>postulat</w:t>
      </w:r>
      <w:r w:rsidRPr="005E4D33">
        <w:rPr>
          <w:rFonts w:ascii="Lato" w:hAnsi="Lato"/>
          <w:b/>
          <w:u w:val="single"/>
        </w:rPr>
        <w:t xml:space="preserve"> UODO</w:t>
      </w:r>
      <w:r w:rsidRPr="005E4D33">
        <w:rPr>
          <w:rFonts w:ascii="Lato" w:hAnsi="Lato"/>
          <w:u w:val="single"/>
        </w:rPr>
        <w:t xml:space="preserve"> </w:t>
      </w:r>
      <w:r w:rsidR="00FA6451" w:rsidRPr="005E4D33">
        <w:rPr>
          <w:rFonts w:ascii="Lato" w:hAnsi="Lato"/>
          <w:u w:val="single"/>
        </w:rPr>
        <w:t>doprecyzowania § 2 ust. 1 pkt 4 projektu poprzez określenie maksymalnej liczby błędnych prób wprowadzenia kodu PIN1 i kodu PIN2</w:t>
      </w:r>
      <w:r w:rsidR="004A4B18" w:rsidRPr="005E4D33">
        <w:rPr>
          <w:rFonts w:ascii="Lato" w:hAnsi="Lato"/>
          <w:u w:val="single"/>
        </w:rPr>
        <w:t xml:space="preserve"> (na wzór § 7 ust. 2 projektu)</w:t>
      </w:r>
    </w:p>
    <w:p w14:paraId="2889A440" w14:textId="6F8E10B5" w:rsidR="00056E3D" w:rsidRPr="004A4B18" w:rsidRDefault="00152A46" w:rsidP="004A4B18">
      <w:pPr>
        <w:spacing w:after="80"/>
        <w:ind w:left="142"/>
        <w:jc w:val="both"/>
        <w:rPr>
          <w:rFonts w:ascii="Lato" w:hAnsi="Lato"/>
        </w:rPr>
      </w:pPr>
      <w:r w:rsidRPr="004A4B18">
        <w:rPr>
          <w:rFonts w:ascii="Lato" w:hAnsi="Lato"/>
        </w:rPr>
        <w:t xml:space="preserve">Zmiana w tym zakresie została uznana za bezzasadną. Kwestionowany przepis odwołuje się do ogólnego mechanizmu zabezpieczeń dotyczących ustalenia limitu wykonania prób, </w:t>
      </w:r>
      <w:r w:rsidR="004A4B18">
        <w:rPr>
          <w:rFonts w:ascii="Lato" w:hAnsi="Lato"/>
        </w:rPr>
        <w:br/>
      </w:r>
      <w:r w:rsidRPr="004A4B18">
        <w:rPr>
          <w:rFonts w:ascii="Lato" w:hAnsi="Lato"/>
        </w:rPr>
        <w:t>a</w:t>
      </w:r>
      <w:r w:rsidR="00FA6451" w:rsidRPr="004A4B18">
        <w:rPr>
          <w:rFonts w:ascii="Lato" w:hAnsi="Lato"/>
        </w:rPr>
        <w:t xml:space="preserve"> </w:t>
      </w:r>
      <w:r w:rsidR="00B44D52" w:rsidRPr="004A4B18">
        <w:rPr>
          <w:rFonts w:ascii="Lato" w:hAnsi="Lato"/>
        </w:rPr>
        <w:t xml:space="preserve">przywołany przepis § 7 ust. 2 projektu stanowi w istocie rozwinięcie ogólnej regulacji zawartej w </w:t>
      </w:r>
      <w:r w:rsidRPr="004A4B18">
        <w:rPr>
          <w:rFonts w:ascii="Lato" w:hAnsi="Lato"/>
        </w:rPr>
        <w:t>ww.</w:t>
      </w:r>
      <w:r w:rsidR="00B44D52" w:rsidRPr="004A4B18">
        <w:rPr>
          <w:rFonts w:ascii="Lato" w:hAnsi="Lato"/>
        </w:rPr>
        <w:t xml:space="preserve"> § 2, ustanawiając dla mechanizmu licznika </w:t>
      </w:r>
      <w:r w:rsidRPr="004A4B18">
        <w:rPr>
          <w:rFonts w:ascii="Lato" w:hAnsi="Lato"/>
        </w:rPr>
        <w:t xml:space="preserve">dopuszczalność </w:t>
      </w:r>
      <w:r w:rsidR="00B44D52" w:rsidRPr="004A4B18">
        <w:rPr>
          <w:rFonts w:ascii="Lato" w:hAnsi="Lato"/>
        </w:rPr>
        <w:t>trzykrotneg</w:t>
      </w:r>
      <w:r w:rsidRPr="004A4B18">
        <w:rPr>
          <w:rFonts w:ascii="Lato" w:hAnsi="Lato"/>
        </w:rPr>
        <w:t xml:space="preserve">o podania </w:t>
      </w:r>
      <w:r w:rsidR="00713C05">
        <w:rPr>
          <w:rFonts w:ascii="Lato" w:hAnsi="Lato"/>
        </w:rPr>
        <w:t xml:space="preserve">nieprawidłowego </w:t>
      </w:r>
      <w:r w:rsidRPr="004A4B18">
        <w:rPr>
          <w:rFonts w:ascii="Lato" w:hAnsi="Lato"/>
        </w:rPr>
        <w:t>kodu.</w:t>
      </w:r>
    </w:p>
    <w:p w14:paraId="776B5754" w14:textId="13604652" w:rsidR="005A7484" w:rsidRPr="005E4D33" w:rsidRDefault="005A7484" w:rsidP="004A4B18">
      <w:pPr>
        <w:pStyle w:val="Akapitzlist"/>
        <w:numPr>
          <w:ilvl w:val="0"/>
          <w:numId w:val="7"/>
        </w:numPr>
        <w:spacing w:after="80"/>
        <w:ind w:left="142" w:hanging="142"/>
        <w:jc w:val="both"/>
        <w:rPr>
          <w:rFonts w:ascii="Lato" w:hAnsi="Lato"/>
          <w:u w:val="single"/>
        </w:rPr>
      </w:pPr>
      <w:r w:rsidRPr="005E4D33">
        <w:rPr>
          <w:rFonts w:ascii="Lato" w:hAnsi="Lato"/>
          <w:u w:val="single"/>
        </w:rPr>
        <w:t>propozycja</w:t>
      </w:r>
      <w:r w:rsidRPr="005E4D33">
        <w:rPr>
          <w:rFonts w:ascii="Lato" w:hAnsi="Lato"/>
          <w:b/>
          <w:u w:val="single"/>
        </w:rPr>
        <w:t xml:space="preserve"> </w:t>
      </w:r>
      <w:r w:rsidR="006B1F83" w:rsidRPr="005E4D33">
        <w:rPr>
          <w:rFonts w:ascii="Lato" w:hAnsi="Lato"/>
          <w:b/>
          <w:u w:val="single"/>
        </w:rPr>
        <w:t>ZBP</w:t>
      </w:r>
      <w:r w:rsidR="006B1F83" w:rsidRPr="005E4D33">
        <w:rPr>
          <w:rFonts w:ascii="Lato" w:hAnsi="Lato"/>
          <w:u w:val="single"/>
        </w:rPr>
        <w:t xml:space="preserve"> wprowadzeni</w:t>
      </w:r>
      <w:r w:rsidRPr="005E4D33">
        <w:rPr>
          <w:rFonts w:ascii="Lato" w:hAnsi="Lato"/>
          <w:u w:val="single"/>
        </w:rPr>
        <w:t>a</w:t>
      </w:r>
      <w:r w:rsidR="006B1F83" w:rsidRPr="005E4D33">
        <w:rPr>
          <w:rFonts w:ascii="Lato" w:hAnsi="Lato"/>
          <w:u w:val="single"/>
        </w:rPr>
        <w:t xml:space="preserve"> do </w:t>
      </w:r>
      <w:r w:rsidRPr="005E4D33">
        <w:rPr>
          <w:rFonts w:ascii="Lato" w:hAnsi="Lato"/>
          <w:u w:val="single"/>
        </w:rPr>
        <w:t>projektu</w:t>
      </w:r>
      <w:r w:rsidR="006B1F83" w:rsidRPr="005E4D33">
        <w:rPr>
          <w:rFonts w:ascii="Lato" w:hAnsi="Lato"/>
          <w:u w:val="single"/>
        </w:rPr>
        <w:t xml:space="preserve"> przepisów ustalających sposób publikacji certyfikatów umożliwiających weryfikację warstwy ICAO oraz list unieważnień tychże certyfikatów</w:t>
      </w:r>
      <w:r w:rsidR="005E4D33">
        <w:rPr>
          <w:rFonts w:ascii="Lato" w:hAnsi="Lato"/>
          <w:u w:val="single"/>
        </w:rPr>
        <w:t>,</w:t>
      </w:r>
      <w:r w:rsidR="006B1F83" w:rsidRPr="005E4D33">
        <w:rPr>
          <w:rFonts w:ascii="Lato" w:hAnsi="Lato"/>
          <w:u w:val="single"/>
        </w:rPr>
        <w:t xml:space="preserve"> </w:t>
      </w:r>
      <w:r w:rsidR="005E4D33">
        <w:rPr>
          <w:rFonts w:ascii="Lato" w:hAnsi="Lato"/>
          <w:u w:val="single"/>
        </w:rPr>
        <w:t>w</w:t>
      </w:r>
      <w:r w:rsidR="006B1F83" w:rsidRPr="005E4D33">
        <w:rPr>
          <w:rFonts w:ascii="Lato" w:hAnsi="Lato"/>
          <w:u w:val="single"/>
        </w:rPr>
        <w:t xml:space="preserve"> szczególności przepisów ustalających miejsce publikacji certyfikatów, pozwalających na ich weryfikację oraz status ważności. </w:t>
      </w:r>
    </w:p>
    <w:p w14:paraId="13261786" w14:textId="7F68ED7A" w:rsidR="000B5974" w:rsidRPr="00C62E20" w:rsidRDefault="00C62E20" w:rsidP="004A4B18">
      <w:pPr>
        <w:spacing w:after="80"/>
        <w:ind w:left="142"/>
        <w:jc w:val="both"/>
        <w:rPr>
          <w:rFonts w:ascii="Lato" w:hAnsi="Lato"/>
        </w:rPr>
      </w:pPr>
      <w:r>
        <w:rPr>
          <w:rFonts w:ascii="Lato" w:hAnsi="Lato"/>
        </w:rPr>
        <w:t xml:space="preserve">Przedmiotowa uwaga nie została uwzględniona, jej </w:t>
      </w:r>
      <w:r w:rsidRPr="00C62E20">
        <w:rPr>
          <w:rFonts w:ascii="Lato" w:hAnsi="Lato"/>
        </w:rPr>
        <w:t>uwzględnienie stanowiłoby przekroczenie upoważnienia ustawoweg</w:t>
      </w:r>
      <w:r>
        <w:rPr>
          <w:rFonts w:ascii="Lato" w:hAnsi="Lato"/>
        </w:rPr>
        <w:t>o określonego w art. 12j ustawy.</w:t>
      </w:r>
    </w:p>
    <w:p w14:paraId="5D903075" w14:textId="50DEB488" w:rsidR="006B1F83" w:rsidRPr="00010213" w:rsidRDefault="006B1F83" w:rsidP="00E0384A">
      <w:pPr>
        <w:spacing w:after="80"/>
        <w:jc w:val="both"/>
        <w:rPr>
          <w:rFonts w:ascii="Lato" w:hAnsi="Lato"/>
        </w:rPr>
      </w:pPr>
      <w:r w:rsidRPr="00010213">
        <w:rPr>
          <w:rFonts w:ascii="Lato" w:hAnsi="Lato"/>
          <w:b/>
          <w:u w:val="single"/>
        </w:rPr>
        <w:t xml:space="preserve">ZBP </w:t>
      </w:r>
      <w:r w:rsidRPr="00010213">
        <w:rPr>
          <w:rFonts w:ascii="Lato" w:hAnsi="Lato"/>
        </w:rPr>
        <w:t>przedstawił propozycję alternatywnego użycia kodu MRZ w operacjach opisa</w:t>
      </w:r>
      <w:r w:rsidR="00C62E20" w:rsidRPr="00010213">
        <w:rPr>
          <w:rFonts w:ascii="Lato" w:hAnsi="Lato"/>
        </w:rPr>
        <w:t>nych w § 4, § 5, § 7 pkt 1. i 3</w:t>
      </w:r>
      <w:r w:rsidRPr="00010213">
        <w:rPr>
          <w:rFonts w:ascii="Lato" w:hAnsi="Lato"/>
        </w:rPr>
        <w:t>, § 8 oraz § 9 projektu.</w:t>
      </w:r>
      <w:r w:rsidR="00C62E20" w:rsidRPr="00010213">
        <w:rPr>
          <w:rFonts w:ascii="Lato" w:hAnsi="Lato"/>
        </w:rPr>
        <w:t xml:space="preserve"> </w:t>
      </w:r>
      <w:r w:rsidR="004F7626" w:rsidRPr="00010213">
        <w:rPr>
          <w:rFonts w:ascii="Lato" w:hAnsi="Lato"/>
        </w:rPr>
        <w:t>U</w:t>
      </w:r>
      <w:r w:rsidR="00C62E20" w:rsidRPr="00010213">
        <w:rPr>
          <w:rFonts w:ascii="Lato" w:hAnsi="Lato"/>
        </w:rPr>
        <w:t>wag</w:t>
      </w:r>
      <w:r w:rsidR="004F7626" w:rsidRPr="00010213">
        <w:rPr>
          <w:rFonts w:ascii="Lato" w:hAnsi="Lato"/>
        </w:rPr>
        <w:t xml:space="preserve">a </w:t>
      </w:r>
      <w:r w:rsidR="00C62E20" w:rsidRPr="00010213">
        <w:rPr>
          <w:rFonts w:ascii="Lato" w:hAnsi="Lato"/>
        </w:rPr>
        <w:t>nie</w:t>
      </w:r>
      <w:r w:rsidR="004F7626" w:rsidRPr="00010213">
        <w:rPr>
          <w:rFonts w:ascii="Lato" w:hAnsi="Lato"/>
        </w:rPr>
        <w:t xml:space="preserve"> została uwzględniona. D</w:t>
      </w:r>
      <w:r w:rsidRPr="00010213">
        <w:rPr>
          <w:rFonts w:ascii="Lato" w:hAnsi="Lato"/>
        </w:rPr>
        <w:t xml:space="preserve">ługość </w:t>
      </w:r>
      <w:r w:rsidR="004F7626" w:rsidRPr="00010213">
        <w:rPr>
          <w:rFonts w:ascii="Lato" w:hAnsi="Lato"/>
        </w:rPr>
        <w:t xml:space="preserve">postulowanego </w:t>
      </w:r>
      <w:r w:rsidRPr="00010213">
        <w:rPr>
          <w:rFonts w:ascii="Lato" w:hAnsi="Lato"/>
        </w:rPr>
        <w:t>kodu MRZ</w:t>
      </w:r>
      <w:r w:rsidR="004F7626" w:rsidRPr="00010213">
        <w:rPr>
          <w:rFonts w:ascii="Lato" w:hAnsi="Lato"/>
        </w:rPr>
        <w:t xml:space="preserve"> to</w:t>
      </w:r>
      <w:r w:rsidRPr="00010213">
        <w:rPr>
          <w:rFonts w:ascii="Lato" w:hAnsi="Lato"/>
        </w:rPr>
        <w:t xml:space="preserve"> kilkadziesiąt znaków</w:t>
      </w:r>
      <w:r w:rsidR="004F7626" w:rsidRPr="00010213">
        <w:rPr>
          <w:rFonts w:ascii="Lato" w:hAnsi="Lato"/>
        </w:rPr>
        <w:t xml:space="preserve">, zaś </w:t>
      </w:r>
      <w:r w:rsidRPr="00010213">
        <w:rPr>
          <w:rFonts w:ascii="Lato" w:hAnsi="Lato"/>
        </w:rPr>
        <w:t>długość kodu CAN</w:t>
      </w:r>
      <w:r w:rsidR="00010213" w:rsidRPr="00010213">
        <w:rPr>
          <w:rFonts w:ascii="Lato" w:hAnsi="Lato"/>
        </w:rPr>
        <w:t>, do którego odnoszą się ww. przepisy,</w:t>
      </w:r>
      <w:r w:rsidRPr="00010213">
        <w:rPr>
          <w:rFonts w:ascii="Lato" w:hAnsi="Lato"/>
        </w:rPr>
        <w:t xml:space="preserve"> wynosi 6 znaków. </w:t>
      </w:r>
      <w:r w:rsidR="00010213" w:rsidRPr="00010213">
        <w:rPr>
          <w:rFonts w:ascii="Lato" w:hAnsi="Lato"/>
        </w:rPr>
        <w:t>W</w:t>
      </w:r>
      <w:r w:rsidRPr="00010213">
        <w:rPr>
          <w:rFonts w:ascii="Lato" w:hAnsi="Lato"/>
        </w:rPr>
        <w:t xml:space="preserve">prowadzenie </w:t>
      </w:r>
      <w:r w:rsidR="00010213" w:rsidRPr="00010213">
        <w:rPr>
          <w:rFonts w:ascii="Lato" w:hAnsi="Lato"/>
        </w:rPr>
        <w:t xml:space="preserve">zatem </w:t>
      </w:r>
      <w:r w:rsidRPr="00010213">
        <w:rPr>
          <w:rFonts w:ascii="Lato" w:hAnsi="Lato"/>
        </w:rPr>
        <w:t xml:space="preserve">dodatkowego wymagania, którego implementacja skutkowałaby koniecznością wprowadzenia zmian do aplikacji wspomagającej, niezależnie od możliwości realizacji tego wymagania na wybranych platformach wykorzystywanych w warstwie elektronicznej e-dowodu, </w:t>
      </w:r>
      <w:r w:rsidR="005A7484">
        <w:rPr>
          <w:rFonts w:ascii="Lato" w:hAnsi="Lato"/>
        </w:rPr>
        <w:t xml:space="preserve">jest </w:t>
      </w:r>
      <w:r w:rsidRPr="00010213">
        <w:rPr>
          <w:rFonts w:ascii="Lato" w:hAnsi="Lato"/>
        </w:rPr>
        <w:t>nie</w:t>
      </w:r>
      <w:r w:rsidR="005A7484">
        <w:rPr>
          <w:rFonts w:ascii="Lato" w:hAnsi="Lato"/>
        </w:rPr>
        <w:t>zasadne</w:t>
      </w:r>
      <w:r w:rsidRPr="00010213">
        <w:rPr>
          <w:rFonts w:ascii="Lato" w:hAnsi="Lato"/>
        </w:rPr>
        <w:t>.</w:t>
      </w:r>
    </w:p>
    <w:p w14:paraId="19181501" w14:textId="3111526E" w:rsidR="00FD23AF" w:rsidRPr="00E91526" w:rsidRDefault="006B1F83" w:rsidP="00E0384A">
      <w:pPr>
        <w:spacing w:after="80"/>
        <w:jc w:val="both"/>
        <w:rPr>
          <w:rFonts w:ascii="Lato" w:hAnsi="Lato"/>
        </w:rPr>
      </w:pPr>
      <w:r w:rsidRPr="00E91526">
        <w:rPr>
          <w:rFonts w:ascii="Lato" w:hAnsi="Lato"/>
          <w:b/>
          <w:u w:val="single"/>
        </w:rPr>
        <w:t>ZBP</w:t>
      </w:r>
      <w:r w:rsidRPr="00E91526">
        <w:rPr>
          <w:rFonts w:ascii="Lato" w:hAnsi="Lato"/>
        </w:rPr>
        <w:t xml:space="preserve"> </w:t>
      </w:r>
      <w:r w:rsidR="005A7484" w:rsidRPr="00E91526">
        <w:rPr>
          <w:rFonts w:ascii="Lato" w:hAnsi="Lato"/>
        </w:rPr>
        <w:t xml:space="preserve">przedstawił propozycję </w:t>
      </w:r>
      <w:r w:rsidR="00C045A3" w:rsidRPr="00E91526">
        <w:rPr>
          <w:rFonts w:ascii="Lato" w:hAnsi="Lato"/>
        </w:rPr>
        <w:t>nadania nowego brzmienia</w:t>
      </w:r>
      <w:r w:rsidRPr="00E91526">
        <w:rPr>
          <w:rFonts w:ascii="Lato" w:hAnsi="Lato"/>
        </w:rPr>
        <w:t xml:space="preserve"> </w:t>
      </w:r>
      <w:r w:rsidR="005A7484" w:rsidRPr="00E91526">
        <w:rPr>
          <w:rFonts w:ascii="Lato" w:hAnsi="Lato"/>
        </w:rPr>
        <w:t>§ 5 projektu</w:t>
      </w:r>
      <w:r w:rsidR="00E006A5" w:rsidRPr="00E91526">
        <w:rPr>
          <w:rFonts w:ascii="Lato" w:hAnsi="Lato"/>
        </w:rPr>
        <w:t>, uwzględniającego sposób i warunki użycia profilu osobistego,</w:t>
      </w:r>
      <w:r w:rsidR="00FD23AF" w:rsidRPr="00E91526">
        <w:rPr>
          <w:rFonts w:ascii="Lato" w:hAnsi="Lato"/>
        </w:rPr>
        <w:t xml:space="preserve"> jak też dopuszczającego użycie profilu osobistego w celu identyfikacji elektronicznej w systemie udostępnionym przez Ministra Cyfryzacji lub w innym systemie spełniającym normy ETSI TS 119 461, </w:t>
      </w:r>
      <w:r w:rsidR="00E006A5" w:rsidRPr="00E91526">
        <w:rPr>
          <w:rFonts w:ascii="Lato" w:hAnsi="Lato"/>
        </w:rPr>
        <w:t>argumentując</w:t>
      </w:r>
      <w:r w:rsidR="00FD23AF" w:rsidRPr="00E91526">
        <w:rPr>
          <w:rFonts w:ascii="Lato" w:hAnsi="Lato"/>
        </w:rPr>
        <w:t xml:space="preserve"> to m. in. tym</w:t>
      </w:r>
      <w:r w:rsidR="00E006A5" w:rsidRPr="00E91526">
        <w:rPr>
          <w:rFonts w:ascii="Lato" w:hAnsi="Lato"/>
        </w:rPr>
        <w:t xml:space="preserve">, iż dostęp do certyfikatu </w:t>
      </w:r>
      <w:r w:rsidR="00FD23AF" w:rsidRPr="00E91526">
        <w:rPr>
          <w:rFonts w:ascii="Lato" w:hAnsi="Lato"/>
        </w:rPr>
        <w:t xml:space="preserve">identyfikacji </w:t>
      </w:r>
      <w:r w:rsidR="00E006A5" w:rsidRPr="00E91526">
        <w:rPr>
          <w:rFonts w:ascii="Lato" w:hAnsi="Lato"/>
        </w:rPr>
        <w:t xml:space="preserve">i uwierzytelnienia nie jest uzależniony od użycia kodu PIN. Przedmiotowa uwaga nie została uwzględniona. Kwestionowany przepis w projektowanym brzmieniu stanowi powtórzenie </w:t>
      </w:r>
      <w:r w:rsidR="000721C8" w:rsidRPr="00E91526">
        <w:rPr>
          <w:rFonts w:ascii="Lato" w:hAnsi="Lato"/>
        </w:rPr>
        <w:t xml:space="preserve">dotychczasowych rozwiązań zawartych w obecnie obowiązującym rozporządzeniu Ministra Spraw Wewnętrznych i Administracji z dnia 26 lutego 2019 r. </w:t>
      </w:r>
      <w:r w:rsidR="000721C8" w:rsidRPr="00E91526">
        <w:rPr>
          <w:rFonts w:ascii="Lato" w:hAnsi="Lato"/>
          <w:i/>
        </w:rPr>
        <w:t>w sprawie warstwy elektronicznej dowodu osobistego</w:t>
      </w:r>
      <w:r w:rsidR="000721C8" w:rsidRPr="00E91526">
        <w:rPr>
          <w:rFonts w:ascii="Lato" w:hAnsi="Lato"/>
        </w:rPr>
        <w:t xml:space="preserve"> (Dz. U. z 2022 r. poz. 1431), które </w:t>
      </w:r>
      <w:r w:rsidR="00022BC2" w:rsidRPr="00E91526">
        <w:rPr>
          <w:rFonts w:ascii="Lato" w:hAnsi="Lato"/>
        </w:rPr>
        <w:t>pozostają</w:t>
      </w:r>
      <w:r w:rsidR="000721C8" w:rsidRPr="00E91526">
        <w:rPr>
          <w:rFonts w:ascii="Lato" w:hAnsi="Lato"/>
        </w:rPr>
        <w:t xml:space="preserve"> s</w:t>
      </w:r>
      <w:r w:rsidR="00022BC2" w:rsidRPr="00E91526">
        <w:rPr>
          <w:rFonts w:ascii="Lato" w:hAnsi="Lato"/>
        </w:rPr>
        <w:t>korelowane z przepisami ustawy (art. 12b).</w:t>
      </w:r>
      <w:r w:rsidR="008E2BCD" w:rsidRPr="00E91526">
        <w:rPr>
          <w:rFonts w:ascii="Lato" w:hAnsi="Lato"/>
        </w:rPr>
        <w:t xml:space="preserve"> Przepisy</w:t>
      </w:r>
      <w:r w:rsidRPr="00E91526">
        <w:rPr>
          <w:rFonts w:ascii="Lato" w:hAnsi="Lato"/>
        </w:rPr>
        <w:t xml:space="preserve"> </w:t>
      </w:r>
      <w:r w:rsidR="008E2BCD" w:rsidRPr="00E91526">
        <w:rPr>
          <w:rFonts w:ascii="Lato" w:hAnsi="Lato"/>
        </w:rPr>
        <w:t>dotyczące</w:t>
      </w:r>
      <w:r w:rsidRPr="00E91526">
        <w:rPr>
          <w:rFonts w:ascii="Lato" w:hAnsi="Lato"/>
        </w:rPr>
        <w:t xml:space="preserve"> wykorzystania certyfikatów </w:t>
      </w:r>
      <w:r w:rsidR="008E2BCD" w:rsidRPr="00E91526">
        <w:rPr>
          <w:rFonts w:ascii="Lato" w:hAnsi="Lato"/>
        </w:rPr>
        <w:t xml:space="preserve">nie powinny być natomiast interpretowane w oderwaniu od </w:t>
      </w:r>
      <w:r w:rsidRPr="00E91526">
        <w:rPr>
          <w:rFonts w:ascii="Lato" w:hAnsi="Lato"/>
        </w:rPr>
        <w:t xml:space="preserve">określonych funkcjonalności e-dowodu opisanych w art. 10a ust. 3 </w:t>
      </w:r>
      <w:r w:rsidR="008E2BCD" w:rsidRPr="00E91526">
        <w:rPr>
          <w:rFonts w:ascii="Lato" w:hAnsi="Lato"/>
        </w:rPr>
        <w:t>u</w:t>
      </w:r>
      <w:r w:rsidRPr="00E91526">
        <w:rPr>
          <w:rFonts w:ascii="Lato" w:hAnsi="Lato"/>
        </w:rPr>
        <w:t xml:space="preserve">stawy. </w:t>
      </w:r>
      <w:r w:rsidR="008E2BCD" w:rsidRPr="00E91526">
        <w:rPr>
          <w:rFonts w:ascii="Lato" w:hAnsi="Lato"/>
        </w:rPr>
        <w:t>Użyte</w:t>
      </w:r>
      <w:r w:rsidRPr="00E91526">
        <w:rPr>
          <w:rFonts w:ascii="Lato" w:hAnsi="Lato"/>
        </w:rPr>
        <w:t xml:space="preserve"> w rozporządzeniu sformułowanie: </w:t>
      </w:r>
      <w:r w:rsidRPr="00E91526">
        <w:rPr>
          <w:rFonts w:ascii="Lato" w:hAnsi="Lato"/>
          <w:i/>
        </w:rPr>
        <w:t>„użycie certyfikatu”,</w:t>
      </w:r>
      <w:r w:rsidR="00FD23AF" w:rsidRPr="00E91526">
        <w:rPr>
          <w:rFonts w:ascii="Lato" w:hAnsi="Lato"/>
        </w:rPr>
        <w:t xml:space="preserve"> jest związane</w:t>
      </w:r>
      <w:r w:rsidRPr="00E91526">
        <w:rPr>
          <w:rFonts w:ascii="Lato" w:hAnsi="Lato"/>
        </w:rPr>
        <w:t xml:space="preserve"> z faktycznym wykorzystaniem klucza prywatnego skojarzonego w parze z kluczem publicznym zawartym w certyfikacie. </w:t>
      </w:r>
    </w:p>
    <w:p w14:paraId="72EEADD0" w14:textId="1382DDE5" w:rsidR="006B1F83" w:rsidRPr="00E91526" w:rsidRDefault="00F554F5" w:rsidP="00E0384A">
      <w:pPr>
        <w:spacing w:after="80"/>
        <w:jc w:val="both"/>
        <w:rPr>
          <w:rFonts w:ascii="Lato" w:hAnsi="Lato"/>
        </w:rPr>
      </w:pPr>
      <w:r w:rsidRPr="00E91526">
        <w:rPr>
          <w:rFonts w:ascii="Lato" w:hAnsi="Lato"/>
        </w:rPr>
        <w:t xml:space="preserve">Ponadto należy zaznaczyć, że kwestie związane z </w:t>
      </w:r>
      <w:r w:rsidR="00FD23AF" w:rsidRPr="00E91526">
        <w:rPr>
          <w:rFonts w:ascii="Lato" w:hAnsi="Lato"/>
        </w:rPr>
        <w:t xml:space="preserve">wykorzystaniem </w:t>
      </w:r>
      <w:r w:rsidRPr="00E91526">
        <w:rPr>
          <w:rFonts w:ascii="Lato" w:hAnsi="Lato"/>
        </w:rPr>
        <w:t>profil</w:t>
      </w:r>
      <w:r w:rsidR="00FD23AF" w:rsidRPr="00E91526">
        <w:rPr>
          <w:rFonts w:ascii="Lato" w:hAnsi="Lato"/>
        </w:rPr>
        <w:t>u</w:t>
      </w:r>
      <w:r w:rsidRPr="00E91526">
        <w:rPr>
          <w:rFonts w:ascii="Lato" w:hAnsi="Lato"/>
        </w:rPr>
        <w:t xml:space="preserve"> osobist</w:t>
      </w:r>
      <w:r w:rsidR="00FD23AF" w:rsidRPr="00E91526">
        <w:rPr>
          <w:rFonts w:ascii="Lato" w:hAnsi="Lato"/>
        </w:rPr>
        <w:t>ego</w:t>
      </w:r>
      <w:r w:rsidRPr="00E91526">
        <w:rPr>
          <w:rFonts w:ascii="Lato" w:hAnsi="Lato"/>
        </w:rPr>
        <w:t xml:space="preserve"> </w:t>
      </w:r>
      <w:r w:rsidR="00A946C0" w:rsidRPr="00E91526">
        <w:rPr>
          <w:rFonts w:ascii="Lato" w:hAnsi="Lato"/>
        </w:rPr>
        <w:t xml:space="preserve">jako Środka Identyfikacji Elektronicznej (ŚIE) </w:t>
      </w:r>
      <w:r w:rsidR="00FD23AF" w:rsidRPr="00E91526">
        <w:rPr>
          <w:rFonts w:ascii="Lato" w:hAnsi="Lato"/>
        </w:rPr>
        <w:t xml:space="preserve">regulują odrębne przepisy, w tym ustawa z dnia </w:t>
      </w:r>
      <w:r w:rsidR="004E7B12">
        <w:rPr>
          <w:rFonts w:ascii="Lato" w:hAnsi="Lato"/>
        </w:rPr>
        <w:br/>
      </w:r>
      <w:r w:rsidR="00FD23AF" w:rsidRPr="00E91526">
        <w:rPr>
          <w:rFonts w:ascii="Lato" w:hAnsi="Lato"/>
        </w:rPr>
        <w:t xml:space="preserve">17 lutego 2005 r. </w:t>
      </w:r>
      <w:r w:rsidR="00FD23AF" w:rsidRPr="00E91526">
        <w:rPr>
          <w:rFonts w:ascii="Lato" w:hAnsi="Lato"/>
          <w:i/>
        </w:rPr>
        <w:t>o informatyzacji działalności podmiotów realizujących zadania publiczne</w:t>
      </w:r>
      <w:r w:rsidR="00A946C0" w:rsidRPr="00E91526">
        <w:rPr>
          <w:rFonts w:ascii="Lato" w:hAnsi="Lato"/>
          <w:i/>
        </w:rPr>
        <w:t xml:space="preserve"> </w:t>
      </w:r>
      <w:r w:rsidR="00A45517">
        <w:rPr>
          <w:rFonts w:ascii="Lato" w:hAnsi="Lato"/>
          <w:i/>
        </w:rPr>
        <w:br/>
      </w:r>
      <w:r w:rsidR="00A946C0" w:rsidRPr="00E91526">
        <w:rPr>
          <w:rFonts w:ascii="Lato" w:hAnsi="Lato"/>
        </w:rPr>
        <w:t>(Dz. U. z 2024 r. poz. 307)</w:t>
      </w:r>
      <w:r w:rsidR="005C444A" w:rsidRPr="00E91526">
        <w:rPr>
          <w:rFonts w:ascii="Lato" w:hAnsi="Lato"/>
        </w:rPr>
        <w:t>,</w:t>
      </w:r>
      <w:r w:rsidR="00A946C0" w:rsidRPr="00E91526">
        <w:rPr>
          <w:rFonts w:ascii="Lato" w:hAnsi="Lato"/>
          <w:i/>
        </w:rPr>
        <w:t xml:space="preserve"> </w:t>
      </w:r>
      <w:r w:rsidR="00A946C0" w:rsidRPr="00E91526">
        <w:rPr>
          <w:rFonts w:ascii="Lato" w:hAnsi="Lato"/>
        </w:rPr>
        <w:t xml:space="preserve">która m. in. przewiduje, że </w:t>
      </w:r>
      <w:r w:rsidR="005C444A" w:rsidRPr="00E91526">
        <w:rPr>
          <w:rFonts w:ascii="Lato" w:hAnsi="Lato"/>
        </w:rPr>
        <w:t>m</w:t>
      </w:r>
      <w:r w:rsidR="00A946C0" w:rsidRPr="00E91526">
        <w:rPr>
          <w:rFonts w:ascii="Lato" w:hAnsi="Lato"/>
        </w:rPr>
        <w:t>inister właściwy do spraw informatyzacji odpowiada za funkcjonowanie systemu teleinformatycznego, zapewnia</w:t>
      </w:r>
      <w:r w:rsidR="005C444A" w:rsidRPr="00E91526">
        <w:rPr>
          <w:rFonts w:ascii="Lato" w:hAnsi="Lato"/>
        </w:rPr>
        <w:t>jącego</w:t>
      </w:r>
      <w:r w:rsidR="00A946C0" w:rsidRPr="00E91526">
        <w:rPr>
          <w:rFonts w:ascii="Lato" w:hAnsi="Lato"/>
        </w:rPr>
        <w:t xml:space="preserve"> obsługę </w:t>
      </w:r>
      <w:r w:rsidR="00A946C0" w:rsidRPr="00E91526">
        <w:rPr>
          <w:rFonts w:ascii="Lato" w:hAnsi="Lato"/>
        </w:rPr>
        <w:lastRenderedPageBreak/>
        <w:t>publicznego systemu identyfikacji elektronicznej, w którym wydawany jest profil osobisty</w:t>
      </w:r>
      <w:r w:rsidR="005C444A" w:rsidRPr="00E91526">
        <w:rPr>
          <w:rFonts w:ascii="Lato" w:hAnsi="Lato"/>
        </w:rPr>
        <w:t xml:space="preserve">, </w:t>
      </w:r>
      <w:r w:rsidR="00A45517">
        <w:rPr>
          <w:rFonts w:ascii="Lato" w:hAnsi="Lato"/>
        </w:rPr>
        <w:br/>
      </w:r>
      <w:r w:rsidR="005C444A" w:rsidRPr="00E91526">
        <w:rPr>
          <w:rFonts w:ascii="Lato" w:hAnsi="Lato"/>
        </w:rPr>
        <w:t xml:space="preserve">jak też ustawa z dnia 5 września 2016 r. </w:t>
      </w:r>
      <w:r w:rsidR="005C444A" w:rsidRPr="00E91526">
        <w:rPr>
          <w:rFonts w:ascii="Lato" w:hAnsi="Lato"/>
          <w:i/>
        </w:rPr>
        <w:t xml:space="preserve">o usługach zaufania oraz identyfikacji elektronicznej </w:t>
      </w:r>
      <w:r w:rsidR="00A45517">
        <w:rPr>
          <w:rFonts w:ascii="Lato" w:hAnsi="Lato"/>
          <w:i/>
        </w:rPr>
        <w:br/>
      </w:r>
      <w:r w:rsidR="005C444A" w:rsidRPr="00E91526">
        <w:rPr>
          <w:rFonts w:ascii="Lato" w:hAnsi="Lato"/>
        </w:rPr>
        <w:t xml:space="preserve">(Dz. U. z 2024 r. poz. 422). </w:t>
      </w:r>
      <w:r w:rsidR="006B1F83" w:rsidRPr="00E91526">
        <w:rPr>
          <w:rFonts w:ascii="Lato" w:hAnsi="Lato"/>
        </w:rPr>
        <w:t>Zgodnie z obowiązującymi przepisami</w:t>
      </w:r>
      <w:r w:rsidR="00A946C0" w:rsidRPr="00E91526">
        <w:rPr>
          <w:rFonts w:ascii="Lato" w:hAnsi="Lato"/>
        </w:rPr>
        <w:t>,</w:t>
      </w:r>
      <w:r w:rsidR="006B1F83" w:rsidRPr="00E91526">
        <w:rPr>
          <w:rFonts w:ascii="Lato" w:hAnsi="Lato"/>
        </w:rPr>
        <w:t xml:space="preserve"> wykorzystanie profilu osobistego jest obecnie możliwe wyłącznie poprzez Węzeł Krajowy, w którym w Systemie Identyfikacji Elektronicznej (SIE) udostępniany jest Środek Identyfikacji Elektronicznej (ŚIE) </w:t>
      </w:r>
      <w:r w:rsidR="00A45517">
        <w:rPr>
          <w:rFonts w:ascii="Lato" w:hAnsi="Lato"/>
        </w:rPr>
        <w:br/>
      </w:r>
      <w:r w:rsidR="006B1F83" w:rsidRPr="00E91526">
        <w:rPr>
          <w:rFonts w:ascii="Lato" w:hAnsi="Lato"/>
        </w:rPr>
        <w:t xml:space="preserve">w postaci profilu osobistego. Zmiana tego wymagania, </w:t>
      </w:r>
      <w:r w:rsidR="005C444A" w:rsidRPr="00E91526">
        <w:rPr>
          <w:rFonts w:ascii="Lato" w:hAnsi="Lato"/>
        </w:rPr>
        <w:t>postulowana</w:t>
      </w:r>
      <w:r w:rsidR="006B1F83" w:rsidRPr="00E91526">
        <w:rPr>
          <w:rFonts w:ascii="Lato" w:hAnsi="Lato"/>
        </w:rPr>
        <w:t xml:space="preserve"> w proponowan</w:t>
      </w:r>
      <w:r w:rsidR="005C444A" w:rsidRPr="00E91526">
        <w:rPr>
          <w:rFonts w:ascii="Lato" w:hAnsi="Lato"/>
        </w:rPr>
        <w:t>ym nowym brzmieniu § 5 projektu,</w:t>
      </w:r>
      <w:r w:rsidR="006B1F83" w:rsidRPr="00E91526">
        <w:rPr>
          <w:rFonts w:ascii="Lato" w:hAnsi="Lato"/>
        </w:rPr>
        <w:t xml:space="preserve"> byłaby sprzeczna z warunkami użycia profilu osobistego, jak również </w:t>
      </w:r>
      <w:r w:rsidR="00A45517">
        <w:rPr>
          <w:rFonts w:ascii="Lato" w:hAnsi="Lato"/>
        </w:rPr>
        <w:br/>
      </w:r>
      <w:r w:rsidR="006B1F83" w:rsidRPr="00E91526">
        <w:rPr>
          <w:rFonts w:ascii="Lato" w:hAnsi="Lato"/>
        </w:rPr>
        <w:t>z jego oceną w procesie zakończonej pozytywnie notyfikacji.</w:t>
      </w:r>
      <w:r w:rsidR="008B4E07" w:rsidRPr="00E91526">
        <w:t xml:space="preserve"> </w:t>
      </w:r>
      <w:r w:rsidR="008B4E07" w:rsidRPr="00E91526">
        <w:rPr>
          <w:rFonts w:ascii="Lato" w:hAnsi="Lato"/>
        </w:rPr>
        <w:t xml:space="preserve">Wskazanie na możliwość użycia profilu osobistego w innym systemie niż SIE, w którym udostępniony jest obecnie profil osobisty (zgodnie ze schematem Węzła Krajowego), wykracza poza zakres upoważnienia ustawowego. </w:t>
      </w:r>
    </w:p>
    <w:p w14:paraId="763CB13F" w14:textId="179DBB79" w:rsidR="006B1F83" w:rsidRDefault="008B4E07" w:rsidP="00E0384A">
      <w:pPr>
        <w:spacing w:after="80"/>
        <w:jc w:val="both"/>
        <w:rPr>
          <w:rFonts w:ascii="Lato" w:hAnsi="Lato"/>
        </w:rPr>
      </w:pPr>
      <w:r>
        <w:rPr>
          <w:rFonts w:ascii="Lato" w:hAnsi="Lato"/>
        </w:rPr>
        <w:t>Pozostałe uwagi dotyczyły załącznika nr 1 do projektu, który określa wymagan</w:t>
      </w:r>
      <w:r w:rsidR="00E970E2">
        <w:rPr>
          <w:rFonts w:ascii="Lato" w:hAnsi="Lato"/>
        </w:rPr>
        <w:t>i</w:t>
      </w:r>
      <w:r>
        <w:rPr>
          <w:rFonts w:ascii="Lato" w:hAnsi="Lato"/>
        </w:rPr>
        <w:t xml:space="preserve">a techniczne dla warstwy elektronicznej dowodu osobistego. Część </w:t>
      </w:r>
      <w:r w:rsidR="00B526AD">
        <w:rPr>
          <w:rFonts w:ascii="Lato" w:hAnsi="Lato"/>
        </w:rPr>
        <w:t xml:space="preserve">zgłoszonych </w:t>
      </w:r>
      <w:r>
        <w:rPr>
          <w:rFonts w:ascii="Lato" w:hAnsi="Lato"/>
        </w:rPr>
        <w:t>uwag</w:t>
      </w:r>
      <w:r w:rsidR="00B11D1D">
        <w:rPr>
          <w:rFonts w:ascii="Lato" w:hAnsi="Lato"/>
        </w:rPr>
        <w:t xml:space="preserve"> została uwzględniona</w:t>
      </w:r>
      <w:r>
        <w:rPr>
          <w:rFonts w:ascii="Lato" w:hAnsi="Lato"/>
        </w:rPr>
        <w:t xml:space="preserve">, </w:t>
      </w:r>
      <w:r w:rsidR="00B526AD">
        <w:rPr>
          <w:rFonts w:ascii="Lato" w:hAnsi="Lato"/>
        </w:rPr>
        <w:t>np. w zakresie</w:t>
      </w:r>
      <w:r w:rsidR="00BA5154">
        <w:rPr>
          <w:rFonts w:ascii="Lato" w:hAnsi="Lato"/>
        </w:rPr>
        <w:t>:</w:t>
      </w:r>
      <w:r w:rsidR="00B526AD">
        <w:rPr>
          <w:rFonts w:ascii="Lato" w:hAnsi="Lato"/>
        </w:rPr>
        <w:t xml:space="preserve"> wykreślenia z pkt II.1 zwrotu: </w:t>
      </w:r>
      <w:r w:rsidR="00B526AD" w:rsidRPr="00E91526">
        <w:rPr>
          <w:rFonts w:ascii="Lato" w:hAnsi="Lato"/>
          <w:i/>
        </w:rPr>
        <w:t>„certyfikacji”</w:t>
      </w:r>
      <w:r w:rsidR="00E91526">
        <w:rPr>
          <w:rFonts w:ascii="Lato" w:hAnsi="Lato"/>
          <w:i/>
        </w:rPr>
        <w:t xml:space="preserve"> </w:t>
      </w:r>
      <w:r w:rsidR="00E91526" w:rsidRPr="00E91526">
        <w:rPr>
          <w:rFonts w:ascii="Lato" w:hAnsi="Lato"/>
          <w:b/>
          <w:u w:val="single"/>
        </w:rPr>
        <w:t>(KT nr 182)</w:t>
      </w:r>
      <w:r w:rsidR="00B526AD" w:rsidRPr="00E91526">
        <w:rPr>
          <w:rFonts w:ascii="Lato" w:hAnsi="Lato"/>
          <w:b/>
          <w:u w:val="single"/>
        </w:rPr>
        <w:t>,</w:t>
      </w:r>
      <w:r w:rsidR="00B526AD">
        <w:rPr>
          <w:rFonts w:ascii="Lato" w:hAnsi="Lato"/>
        </w:rPr>
        <w:t xml:space="preserve"> uzupełnienia pkt II.3 </w:t>
      </w:r>
      <w:r w:rsidR="00B11D1D">
        <w:rPr>
          <w:rFonts w:ascii="Lato" w:hAnsi="Lato"/>
        </w:rPr>
        <w:br/>
      </w:r>
      <w:r w:rsidR="00B526AD">
        <w:rPr>
          <w:rFonts w:ascii="Lato" w:hAnsi="Lato"/>
        </w:rPr>
        <w:t xml:space="preserve">o Europejski schemat </w:t>
      </w:r>
      <w:r w:rsidR="00B526AD" w:rsidRPr="00B526AD">
        <w:rPr>
          <w:rFonts w:ascii="Lato" w:hAnsi="Lato"/>
        </w:rPr>
        <w:t>certyfik</w:t>
      </w:r>
      <w:r w:rsidR="00B526AD">
        <w:rPr>
          <w:rFonts w:ascii="Lato" w:hAnsi="Lato"/>
        </w:rPr>
        <w:t xml:space="preserve">acji </w:t>
      </w:r>
      <w:proofErr w:type="spellStart"/>
      <w:r w:rsidR="00B526AD">
        <w:rPr>
          <w:rFonts w:ascii="Lato" w:hAnsi="Lato"/>
        </w:rPr>
        <w:t>cyberbezpieczeństwa</w:t>
      </w:r>
      <w:proofErr w:type="spellEnd"/>
      <w:r w:rsidR="00B526AD">
        <w:rPr>
          <w:rFonts w:ascii="Lato" w:hAnsi="Lato"/>
        </w:rPr>
        <w:t xml:space="preserve"> zgodny</w:t>
      </w:r>
      <w:r w:rsidR="00B526AD" w:rsidRPr="00B526AD">
        <w:rPr>
          <w:rFonts w:ascii="Lato" w:hAnsi="Lato"/>
        </w:rPr>
        <w:t xml:space="preserve"> z </w:t>
      </w:r>
      <w:proofErr w:type="spellStart"/>
      <w:r w:rsidR="00B526AD" w:rsidRPr="00B526AD">
        <w:rPr>
          <w:rFonts w:ascii="Lato" w:hAnsi="Lato"/>
        </w:rPr>
        <w:t>Common</w:t>
      </w:r>
      <w:proofErr w:type="spellEnd"/>
      <w:r w:rsidR="00B526AD" w:rsidRPr="00B526AD">
        <w:rPr>
          <w:rFonts w:ascii="Lato" w:hAnsi="Lato"/>
        </w:rPr>
        <w:t xml:space="preserve"> </w:t>
      </w:r>
      <w:proofErr w:type="spellStart"/>
      <w:r w:rsidR="00B526AD" w:rsidRPr="00B526AD">
        <w:rPr>
          <w:rFonts w:ascii="Lato" w:hAnsi="Lato"/>
        </w:rPr>
        <w:t>Criteria</w:t>
      </w:r>
      <w:proofErr w:type="spellEnd"/>
      <w:r w:rsidR="00B526AD" w:rsidRPr="00B526AD">
        <w:rPr>
          <w:rFonts w:ascii="Lato" w:hAnsi="Lato"/>
        </w:rPr>
        <w:t xml:space="preserve"> (EUCC)</w:t>
      </w:r>
      <w:r w:rsidR="00E91526">
        <w:rPr>
          <w:rFonts w:ascii="Lato" w:hAnsi="Lato"/>
        </w:rPr>
        <w:t xml:space="preserve"> </w:t>
      </w:r>
      <w:r w:rsidR="00E91526" w:rsidRPr="00E91526">
        <w:rPr>
          <w:rFonts w:ascii="Lato" w:hAnsi="Lato"/>
          <w:b/>
          <w:u w:val="single"/>
        </w:rPr>
        <w:t>(KT nr 182)</w:t>
      </w:r>
      <w:r w:rsidR="00B526AD" w:rsidRPr="00E91526">
        <w:rPr>
          <w:rFonts w:ascii="Lato" w:hAnsi="Lato"/>
          <w:b/>
          <w:u w:val="single"/>
        </w:rPr>
        <w:t>,</w:t>
      </w:r>
      <w:r w:rsidR="00B526AD">
        <w:rPr>
          <w:rFonts w:ascii="Lato" w:hAnsi="Lato"/>
        </w:rPr>
        <w:t xml:space="preserve"> </w:t>
      </w:r>
      <w:r w:rsidR="003A150C">
        <w:rPr>
          <w:rFonts w:ascii="Lato" w:hAnsi="Lato"/>
        </w:rPr>
        <w:t xml:space="preserve">błędnego odwołania do normy </w:t>
      </w:r>
      <w:r w:rsidR="003A150C" w:rsidRPr="003A150C">
        <w:rPr>
          <w:rFonts w:ascii="Lato" w:hAnsi="Lato"/>
        </w:rPr>
        <w:t>ISO/IEC 14508-3</w:t>
      </w:r>
      <w:r w:rsidR="003A150C">
        <w:rPr>
          <w:rFonts w:ascii="Lato" w:hAnsi="Lato"/>
        </w:rPr>
        <w:t xml:space="preserve"> </w:t>
      </w:r>
      <w:r w:rsidR="003A150C" w:rsidRPr="003A150C">
        <w:rPr>
          <w:rFonts w:ascii="Lato" w:hAnsi="Lato"/>
          <w:b/>
          <w:u w:val="single"/>
        </w:rPr>
        <w:t>(PKN),</w:t>
      </w:r>
      <w:r w:rsidR="003A150C">
        <w:rPr>
          <w:rFonts w:ascii="Lato" w:hAnsi="Lato"/>
        </w:rPr>
        <w:t xml:space="preserve"> </w:t>
      </w:r>
      <w:r w:rsidR="00BA5154">
        <w:rPr>
          <w:rFonts w:ascii="Lato" w:hAnsi="Lato"/>
        </w:rPr>
        <w:t xml:space="preserve">rezygnacji z odwołania do </w:t>
      </w:r>
      <w:r w:rsidR="00FB3BD0">
        <w:rPr>
          <w:rFonts w:ascii="Lato" w:hAnsi="Lato"/>
        </w:rPr>
        <w:t xml:space="preserve">komponentów ASE </w:t>
      </w:r>
      <w:r w:rsidR="00E91526">
        <w:rPr>
          <w:rFonts w:ascii="Lato" w:hAnsi="Lato"/>
        </w:rPr>
        <w:t>TSS.2</w:t>
      </w:r>
      <w:r w:rsidR="00BA5154">
        <w:rPr>
          <w:rFonts w:ascii="Lato" w:hAnsi="Lato"/>
        </w:rPr>
        <w:t xml:space="preserve"> (pkt V.1 i V.2), </w:t>
      </w:r>
      <w:r w:rsidR="00FB3BD0">
        <w:rPr>
          <w:rFonts w:ascii="Lato" w:hAnsi="Lato"/>
        </w:rPr>
        <w:t>ALC FLR.1</w:t>
      </w:r>
      <w:r w:rsidR="00E722B8">
        <w:rPr>
          <w:rFonts w:ascii="Lato" w:hAnsi="Lato"/>
        </w:rPr>
        <w:t xml:space="preserve"> </w:t>
      </w:r>
      <w:r w:rsidR="00FB3BD0">
        <w:rPr>
          <w:rFonts w:ascii="Lato" w:hAnsi="Lato"/>
        </w:rPr>
        <w:t xml:space="preserve">(pkt V.2), </w:t>
      </w:r>
      <w:r w:rsidR="00FB3BD0" w:rsidRPr="00FB3BD0">
        <w:rPr>
          <w:rFonts w:ascii="Lato" w:hAnsi="Lato"/>
        </w:rPr>
        <w:t>ATE DPT.1</w:t>
      </w:r>
      <w:r w:rsidR="00FB3BD0">
        <w:rPr>
          <w:rFonts w:ascii="Lato" w:hAnsi="Lato"/>
        </w:rPr>
        <w:t xml:space="preserve"> (pkt V.3) </w:t>
      </w:r>
      <w:r w:rsidR="00FB3BD0" w:rsidRPr="00FB3BD0">
        <w:rPr>
          <w:rFonts w:ascii="Lato" w:hAnsi="Lato"/>
          <w:b/>
          <w:u w:val="single"/>
        </w:rPr>
        <w:t>(KT nr 182)</w:t>
      </w:r>
      <w:r w:rsidR="00FB3BD0" w:rsidRPr="00FB3BD0">
        <w:rPr>
          <w:rFonts w:ascii="Lato" w:hAnsi="Lato"/>
        </w:rPr>
        <w:t xml:space="preserve"> oraz do algorytmu </w:t>
      </w:r>
      <w:proofErr w:type="spellStart"/>
      <w:r w:rsidR="00FB3BD0" w:rsidRPr="00FB3BD0">
        <w:rPr>
          <w:rFonts w:ascii="Lato" w:hAnsi="Lato"/>
        </w:rPr>
        <w:t>Triple</w:t>
      </w:r>
      <w:proofErr w:type="spellEnd"/>
      <w:r w:rsidR="00FB3BD0" w:rsidRPr="00FB3BD0">
        <w:rPr>
          <w:rFonts w:ascii="Lato" w:hAnsi="Lato"/>
        </w:rPr>
        <w:t>-DES</w:t>
      </w:r>
      <w:r w:rsidR="00E722B8">
        <w:rPr>
          <w:rFonts w:ascii="Lato" w:hAnsi="Lato"/>
        </w:rPr>
        <w:t xml:space="preserve"> w pkt VII.1</w:t>
      </w:r>
      <w:r w:rsidR="00FB3BD0" w:rsidRPr="00FB3BD0">
        <w:rPr>
          <w:rFonts w:ascii="Lato" w:hAnsi="Lato"/>
        </w:rPr>
        <w:t xml:space="preserve"> </w:t>
      </w:r>
      <w:r w:rsidR="00FB3BD0">
        <w:rPr>
          <w:rFonts w:ascii="Lato" w:hAnsi="Lato"/>
          <w:b/>
          <w:u w:val="single"/>
        </w:rPr>
        <w:t>(UODO oraz KT nr 182)</w:t>
      </w:r>
      <w:r w:rsidR="00E722B8">
        <w:rPr>
          <w:rFonts w:ascii="Lato" w:hAnsi="Lato"/>
          <w:b/>
          <w:u w:val="single"/>
        </w:rPr>
        <w:t xml:space="preserve"> </w:t>
      </w:r>
      <w:r w:rsidR="00E722B8" w:rsidRPr="00E722B8">
        <w:rPr>
          <w:rFonts w:ascii="Lato" w:hAnsi="Lato"/>
        </w:rPr>
        <w:t>oraz DES w pkt VII.2 lit. a</w:t>
      </w:r>
      <w:r w:rsidR="00E722B8" w:rsidRPr="00E722B8">
        <w:rPr>
          <w:rFonts w:ascii="Lato" w:hAnsi="Lato"/>
          <w:b/>
        </w:rPr>
        <w:t xml:space="preserve"> </w:t>
      </w:r>
      <w:r w:rsidR="00FB3BD0" w:rsidRPr="00E722B8">
        <w:rPr>
          <w:rFonts w:ascii="Lato" w:hAnsi="Lato"/>
          <w:b/>
        </w:rPr>
        <w:t xml:space="preserve"> </w:t>
      </w:r>
      <w:r w:rsidR="00E722B8" w:rsidRPr="00E722B8">
        <w:rPr>
          <w:rFonts w:ascii="Lato" w:hAnsi="Lato"/>
          <w:b/>
          <w:u w:val="single"/>
        </w:rPr>
        <w:t>(KT nr 182)</w:t>
      </w:r>
      <w:r w:rsidR="00B11D1D" w:rsidRPr="00B11D1D">
        <w:rPr>
          <w:rFonts w:ascii="Lato" w:hAnsi="Lato"/>
        </w:rPr>
        <w:t>, wprowadzone zostały stosowne zmiany w projekcie</w:t>
      </w:r>
      <w:r w:rsidR="00B11D1D">
        <w:rPr>
          <w:rFonts w:ascii="Lato" w:hAnsi="Lato"/>
        </w:rPr>
        <w:t>.</w:t>
      </w:r>
      <w:r w:rsidR="00E722B8" w:rsidRPr="00B11D1D">
        <w:rPr>
          <w:rFonts w:ascii="Lato" w:hAnsi="Lato"/>
        </w:rPr>
        <w:t xml:space="preserve"> </w:t>
      </w:r>
      <w:r w:rsidR="00E722B8">
        <w:rPr>
          <w:rFonts w:ascii="Lato" w:hAnsi="Lato"/>
        </w:rPr>
        <w:t xml:space="preserve">Inne uwagi nie zostały uwzględnione. </w:t>
      </w:r>
      <w:r w:rsidR="003A150C">
        <w:rPr>
          <w:rFonts w:ascii="Lato" w:hAnsi="Lato"/>
        </w:rPr>
        <w:t>Główną</w:t>
      </w:r>
      <w:r w:rsidR="00E722B8">
        <w:rPr>
          <w:rFonts w:ascii="Lato" w:hAnsi="Lato"/>
        </w:rPr>
        <w:t xml:space="preserve"> intencją projektodawcy jest bowiem </w:t>
      </w:r>
      <w:r w:rsidR="00E722B8" w:rsidRPr="00E722B8">
        <w:rPr>
          <w:rFonts w:ascii="Lato" w:hAnsi="Lato"/>
        </w:rPr>
        <w:t xml:space="preserve">dalsze dostosowanie obszaru dowodów osobistych do zmian, jakie w </w:t>
      </w:r>
      <w:r w:rsidR="00E722B8">
        <w:rPr>
          <w:rFonts w:ascii="Lato" w:hAnsi="Lato"/>
        </w:rPr>
        <w:t xml:space="preserve">tej sferze wprowadziła ustawa z dnia </w:t>
      </w:r>
      <w:r w:rsidR="00E722B8" w:rsidRPr="00E722B8">
        <w:rPr>
          <w:rFonts w:ascii="Lato" w:hAnsi="Lato"/>
        </w:rPr>
        <w:t xml:space="preserve">26 maja 2023 r. </w:t>
      </w:r>
      <w:r w:rsidR="00B11D1D">
        <w:rPr>
          <w:rFonts w:ascii="Lato" w:hAnsi="Lato"/>
        </w:rPr>
        <w:br/>
      </w:r>
      <w:r w:rsidR="00E722B8" w:rsidRPr="003A150C">
        <w:rPr>
          <w:rFonts w:ascii="Lato" w:hAnsi="Lato"/>
          <w:i/>
        </w:rPr>
        <w:t xml:space="preserve">o aplikacji </w:t>
      </w:r>
      <w:proofErr w:type="spellStart"/>
      <w:r w:rsidR="00E722B8" w:rsidRPr="003A150C">
        <w:rPr>
          <w:rFonts w:ascii="Lato" w:hAnsi="Lato"/>
          <w:i/>
        </w:rPr>
        <w:t>mObywatel</w:t>
      </w:r>
      <w:proofErr w:type="spellEnd"/>
      <w:r w:rsidR="00E722B8">
        <w:rPr>
          <w:rFonts w:ascii="Lato" w:hAnsi="Lato"/>
        </w:rPr>
        <w:t xml:space="preserve"> </w:t>
      </w:r>
      <w:r w:rsidR="00E722B8" w:rsidRPr="00E722B8">
        <w:rPr>
          <w:rFonts w:ascii="Lato" w:hAnsi="Lato"/>
        </w:rPr>
        <w:t>(Dz.</w:t>
      </w:r>
      <w:r w:rsidR="00E722B8">
        <w:rPr>
          <w:rFonts w:ascii="Lato" w:hAnsi="Lato"/>
        </w:rPr>
        <w:t xml:space="preserve"> </w:t>
      </w:r>
      <w:r w:rsidR="00E722B8" w:rsidRPr="00E722B8">
        <w:rPr>
          <w:rFonts w:ascii="Lato" w:hAnsi="Lato"/>
        </w:rPr>
        <w:t>U. z 2023 r. poz. 1234).</w:t>
      </w:r>
      <w:r w:rsidR="00E722B8">
        <w:rPr>
          <w:rFonts w:ascii="Lato" w:hAnsi="Lato"/>
        </w:rPr>
        <w:t xml:space="preserve"> Wobec powyższego, bez uwzględnienia </w:t>
      </w:r>
      <w:r w:rsidR="00854A8B">
        <w:rPr>
          <w:rFonts w:ascii="Lato" w:hAnsi="Lato"/>
        </w:rPr>
        <w:t xml:space="preserve">zasadniczo </w:t>
      </w:r>
      <w:r w:rsidR="00E722B8">
        <w:rPr>
          <w:rFonts w:ascii="Lato" w:hAnsi="Lato"/>
        </w:rPr>
        <w:t>pozostały następujące uwagi:</w:t>
      </w:r>
    </w:p>
    <w:p w14:paraId="15186D52" w14:textId="613FD733" w:rsidR="003A150C" w:rsidRPr="0020115A" w:rsidRDefault="00E722B8" w:rsidP="0020115A">
      <w:pPr>
        <w:pStyle w:val="Akapitzlist"/>
        <w:numPr>
          <w:ilvl w:val="0"/>
          <w:numId w:val="8"/>
        </w:numPr>
        <w:spacing w:after="80"/>
        <w:ind w:left="284" w:hanging="284"/>
        <w:jc w:val="both"/>
        <w:rPr>
          <w:rFonts w:ascii="Lato" w:hAnsi="Lato"/>
          <w:u w:val="single"/>
        </w:rPr>
      </w:pPr>
      <w:r w:rsidRPr="0020115A">
        <w:rPr>
          <w:rFonts w:ascii="Lato" w:hAnsi="Lato"/>
          <w:u w:val="single"/>
        </w:rPr>
        <w:t xml:space="preserve">dotyczące </w:t>
      </w:r>
      <w:r w:rsidR="003A150C" w:rsidRPr="0020115A">
        <w:rPr>
          <w:rFonts w:ascii="Lato" w:hAnsi="Lato"/>
          <w:u w:val="single"/>
        </w:rPr>
        <w:t>norm, do których odwołuje się projekt załącznika nr 1</w:t>
      </w:r>
      <w:r w:rsidR="0020115A" w:rsidRPr="0020115A">
        <w:rPr>
          <w:rFonts w:ascii="Lato" w:hAnsi="Lato"/>
          <w:u w:val="single"/>
        </w:rPr>
        <w:t xml:space="preserve"> </w:t>
      </w:r>
      <w:r w:rsidR="0020115A" w:rsidRPr="0020115A">
        <w:rPr>
          <w:rFonts w:ascii="Lato" w:hAnsi="Lato"/>
          <w:b/>
          <w:u w:val="single"/>
        </w:rPr>
        <w:t>(KT nr 182)</w:t>
      </w:r>
    </w:p>
    <w:p w14:paraId="5A52E20E" w14:textId="1E87540A" w:rsidR="003E3C87" w:rsidRPr="003E3C87" w:rsidRDefault="003A150C" w:rsidP="008D0871">
      <w:pPr>
        <w:pStyle w:val="Akapitzlist"/>
        <w:spacing w:after="80"/>
        <w:ind w:left="284"/>
        <w:jc w:val="both"/>
        <w:rPr>
          <w:rFonts w:ascii="Lato" w:hAnsi="Lato"/>
        </w:rPr>
      </w:pPr>
      <w:r>
        <w:rPr>
          <w:rFonts w:ascii="Lato" w:hAnsi="Lato"/>
        </w:rPr>
        <w:t xml:space="preserve">Przedmiotowa grupa uwag </w:t>
      </w:r>
      <w:r w:rsidR="00F91629">
        <w:rPr>
          <w:rFonts w:ascii="Lato" w:hAnsi="Lato"/>
        </w:rPr>
        <w:t xml:space="preserve">zasadniczo </w:t>
      </w:r>
      <w:r>
        <w:rPr>
          <w:rFonts w:ascii="Lato" w:hAnsi="Lato"/>
        </w:rPr>
        <w:t xml:space="preserve">zawierała propozycje uzupełnienia przywołanych </w:t>
      </w:r>
      <w:r w:rsidR="00F91629">
        <w:rPr>
          <w:rFonts w:ascii="Lato" w:hAnsi="Lato"/>
        </w:rPr>
        <w:t xml:space="preserve">               </w:t>
      </w:r>
      <w:r>
        <w:rPr>
          <w:rFonts w:ascii="Lato" w:hAnsi="Lato"/>
        </w:rPr>
        <w:t xml:space="preserve">w załączniku norm o odwołania do poszczególnych lub wszystkich części tych norm (pkt I.3, </w:t>
      </w:r>
      <w:r w:rsidR="00854A8B">
        <w:rPr>
          <w:rFonts w:ascii="Lato" w:hAnsi="Lato"/>
        </w:rPr>
        <w:t xml:space="preserve">II.1, V) oraz odwołania się do dodatkowej normy </w:t>
      </w:r>
      <w:r w:rsidR="00854A8B" w:rsidRPr="00854A8B">
        <w:rPr>
          <w:rFonts w:ascii="Lato" w:hAnsi="Lato"/>
        </w:rPr>
        <w:t>PN-EN ISO/IEC 18045</w:t>
      </w:r>
      <w:r>
        <w:rPr>
          <w:rFonts w:ascii="Lato" w:hAnsi="Lato"/>
        </w:rPr>
        <w:t xml:space="preserve"> </w:t>
      </w:r>
      <w:r w:rsidR="00854A8B">
        <w:rPr>
          <w:rFonts w:ascii="Lato" w:hAnsi="Lato"/>
        </w:rPr>
        <w:t xml:space="preserve">w pkt II.1. Uwagi te co do zasady zostały </w:t>
      </w:r>
      <w:r w:rsidR="00F91629">
        <w:rPr>
          <w:rFonts w:ascii="Lato" w:hAnsi="Lato"/>
        </w:rPr>
        <w:t xml:space="preserve">odrzucone. W ocenie projektodawcy, należy </w:t>
      </w:r>
      <w:r w:rsidR="00F91629" w:rsidRPr="00F91629">
        <w:rPr>
          <w:rFonts w:ascii="Lato" w:hAnsi="Lato"/>
        </w:rPr>
        <w:t xml:space="preserve">pozostawić odwołanie do normy PN-EN ISO/IEC 15408 </w:t>
      </w:r>
      <w:r w:rsidR="00F91629">
        <w:rPr>
          <w:rFonts w:ascii="Lato" w:hAnsi="Lato"/>
        </w:rPr>
        <w:t xml:space="preserve">rozumianego </w:t>
      </w:r>
      <w:r w:rsidR="00F91629" w:rsidRPr="00F91629">
        <w:rPr>
          <w:rFonts w:ascii="Lato" w:hAnsi="Lato"/>
        </w:rPr>
        <w:t>jako standardu rozwiązań, a nie do konkretnej części dokumentu, określ</w:t>
      </w:r>
      <w:r w:rsidR="00F91629">
        <w:rPr>
          <w:rFonts w:ascii="Lato" w:hAnsi="Lato"/>
        </w:rPr>
        <w:t xml:space="preserve">onego datą i częścią (zeszytem) i nadać temu </w:t>
      </w:r>
      <w:r w:rsidR="00F91629" w:rsidRPr="00F91629">
        <w:rPr>
          <w:rFonts w:ascii="Lato" w:hAnsi="Lato"/>
        </w:rPr>
        <w:t>odwołani</w:t>
      </w:r>
      <w:r w:rsidR="00F91629">
        <w:rPr>
          <w:rFonts w:ascii="Lato" w:hAnsi="Lato"/>
        </w:rPr>
        <w:t>u</w:t>
      </w:r>
      <w:r w:rsidR="00F91629" w:rsidRPr="00F91629">
        <w:rPr>
          <w:rFonts w:ascii="Lato" w:hAnsi="Lato"/>
        </w:rPr>
        <w:t xml:space="preserve"> </w:t>
      </w:r>
      <w:r w:rsidR="00F91629">
        <w:rPr>
          <w:rFonts w:ascii="Lato" w:hAnsi="Lato"/>
        </w:rPr>
        <w:t>charakter</w:t>
      </w:r>
      <w:r w:rsidR="00F91629" w:rsidRPr="00F91629">
        <w:rPr>
          <w:rFonts w:ascii="Lato" w:hAnsi="Lato"/>
        </w:rPr>
        <w:t xml:space="preserve"> odwołani</w:t>
      </w:r>
      <w:r w:rsidR="00F91629">
        <w:rPr>
          <w:rFonts w:ascii="Lato" w:hAnsi="Lato"/>
        </w:rPr>
        <w:t>a</w:t>
      </w:r>
      <w:r w:rsidR="00F91629" w:rsidRPr="00F91629">
        <w:rPr>
          <w:rFonts w:ascii="Lato" w:hAnsi="Lato"/>
        </w:rPr>
        <w:t xml:space="preserve"> niedatowan</w:t>
      </w:r>
      <w:r w:rsidR="00F91629">
        <w:rPr>
          <w:rFonts w:ascii="Lato" w:hAnsi="Lato"/>
        </w:rPr>
        <w:t>ego</w:t>
      </w:r>
      <w:r w:rsidR="00F91629" w:rsidRPr="00F91629">
        <w:rPr>
          <w:rFonts w:ascii="Lato" w:hAnsi="Lato"/>
        </w:rPr>
        <w:t xml:space="preserve">. </w:t>
      </w:r>
      <w:r w:rsidR="0077014D">
        <w:rPr>
          <w:rFonts w:ascii="Lato" w:hAnsi="Lato"/>
        </w:rPr>
        <w:t>Tego typu odwołanie</w:t>
      </w:r>
      <w:r w:rsidR="00F91629" w:rsidRPr="0077014D">
        <w:rPr>
          <w:rFonts w:ascii="Lato" w:hAnsi="Lato"/>
        </w:rPr>
        <w:t xml:space="preserve"> </w:t>
      </w:r>
      <w:r w:rsidR="0077014D">
        <w:rPr>
          <w:rFonts w:ascii="Lato" w:hAnsi="Lato"/>
        </w:rPr>
        <w:t>wydaje się</w:t>
      </w:r>
      <w:r w:rsidR="00F91629" w:rsidRPr="0077014D">
        <w:rPr>
          <w:rFonts w:ascii="Lato" w:hAnsi="Lato"/>
        </w:rPr>
        <w:t xml:space="preserve"> neutralne</w:t>
      </w:r>
      <w:r w:rsidR="0077014D">
        <w:rPr>
          <w:rFonts w:ascii="Lato" w:hAnsi="Lato"/>
        </w:rPr>
        <w:t xml:space="preserve"> </w:t>
      </w:r>
      <w:r w:rsidR="0077014D" w:rsidRPr="0077014D">
        <w:rPr>
          <w:rFonts w:ascii="Lato" w:hAnsi="Lato"/>
        </w:rPr>
        <w:t>dla procesu produkcji, oceny bezpieczeństwa i certyfikacji rozwiązań zawartych w dowodzie osobistym</w:t>
      </w:r>
      <w:r w:rsidR="003E3C87">
        <w:rPr>
          <w:rFonts w:ascii="Lato" w:hAnsi="Lato"/>
        </w:rPr>
        <w:t xml:space="preserve">. </w:t>
      </w:r>
      <w:r w:rsidR="003E3C87" w:rsidRPr="003E3C87">
        <w:rPr>
          <w:rFonts w:ascii="Lato" w:hAnsi="Lato"/>
        </w:rPr>
        <w:t xml:space="preserve">Ponadto </w:t>
      </w:r>
      <w:r w:rsidR="003E3C87">
        <w:rPr>
          <w:rFonts w:ascii="Lato" w:hAnsi="Lato"/>
        </w:rPr>
        <w:t xml:space="preserve">przedmiotem projektowanego rozporządzenia jest </w:t>
      </w:r>
      <w:r w:rsidR="003E3C87" w:rsidRPr="003E3C87">
        <w:rPr>
          <w:rFonts w:ascii="Lato" w:hAnsi="Lato"/>
        </w:rPr>
        <w:t>określenie wymogów dla wymagań technicznych warstwy elektronicznej dowodu osobistego.</w:t>
      </w:r>
      <w:r w:rsidR="003E3C87">
        <w:rPr>
          <w:rFonts w:ascii="Lato" w:hAnsi="Lato"/>
        </w:rPr>
        <w:t xml:space="preserve"> W</w:t>
      </w:r>
      <w:r w:rsidR="00F91629" w:rsidRPr="003E3C87">
        <w:rPr>
          <w:rFonts w:ascii="Lato" w:hAnsi="Lato"/>
        </w:rPr>
        <w:t>ymagania dotyczące bezpieczeństwa produktu opisane zostały w normie PN-EN ISO/IEC 15408</w:t>
      </w:r>
      <w:r w:rsidR="003E3C87">
        <w:rPr>
          <w:rFonts w:ascii="Lato" w:hAnsi="Lato"/>
        </w:rPr>
        <w:t xml:space="preserve">. Norma PN-EN ISO/IEC </w:t>
      </w:r>
      <w:r w:rsidR="00F91629" w:rsidRPr="003E3C87">
        <w:rPr>
          <w:rFonts w:ascii="Lato" w:hAnsi="Lato"/>
        </w:rPr>
        <w:t>18045</w:t>
      </w:r>
      <w:r w:rsidR="003E3C87">
        <w:rPr>
          <w:rFonts w:ascii="Lato" w:hAnsi="Lato"/>
        </w:rPr>
        <w:t xml:space="preserve"> jest natomiast</w:t>
      </w:r>
      <w:r w:rsidR="00F91629" w:rsidRPr="003E3C87">
        <w:rPr>
          <w:rFonts w:ascii="Lato" w:hAnsi="Lato"/>
        </w:rPr>
        <w:t xml:space="preserve"> norm</w:t>
      </w:r>
      <w:r w:rsidR="003E3C87">
        <w:rPr>
          <w:rFonts w:ascii="Lato" w:hAnsi="Lato"/>
        </w:rPr>
        <w:t>ą techniczną</w:t>
      </w:r>
      <w:r w:rsidR="00F91629" w:rsidRPr="003E3C87">
        <w:rPr>
          <w:rFonts w:ascii="Lato" w:hAnsi="Lato"/>
        </w:rPr>
        <w:t>, która stanowi dokument towarzyszący dla kryteriów oceny zabezpieczeń informatycznych zdefiniowanych w normie PN-EN ISO/IEC 15408. Innymi słowy, norma PN-EN ISO/IEC 18045 zawiera regulację stanowiącą o tym, jakie minimalne</w:t>
      </w:r>
      <w:r w:rsidR="00F91629" w:rsidRPr="00F91629">
        <w:t xml:space="preserve"> </w:t>
      </w:r>
      <w:r w:rsidR="00F91629" w:rsidRPr="003E3C87">
        <w:rPr>
          <w:rFonts w:ascii="Lato" w:hAnsi="Lato"/>
        </w:rPr>
        <w:t xml:space="preserve">działania należy podjąć, aby właściwie przeprowadzić ocenę zgodnie </w:t>
      </w:r>
      <w:r w:rsidR="00A45517">
        <w:rPr>
          <w:rFonts w:ascii="Lato" w:hAnsi="Lato"/>
        </w:rPr>
        <w:br/>
      </w:r>
      <w:r w:rsidR="00F91629" w:rsidRPr="003E3C87">
        <w:rPr>
          <w:rFonts w:ascii="Lato" w:hAnsi="Lato"/>
        </w:rPr>
        <w:t xml:space="preserve">z normą PN-EN ISO/IEC 15408. </w:t>
      </w:r>
      <w:r w:rsidR="003E3C87">
        <w:rPr>
          <w:rFonts w:ascii="Lato" w:hAnsi="Lato"/>
        </w:rPr>
        <w:t>W efekcie projekt zo</w:t>
      </w:r>
      <w:r w:rsidR="008D0871">
        <w:rPr>
          <w:rFonts w:ascii="Lato" w:hAnsi="Lato"/>
        </w:rPr>
        <w:t>stał skorygowany pod tym kątem.</w:t>
      </w:r>
    </w:p>
    <w:p w14:paraId="128F7F39" w14:textId="43C6F92D" w:rsidR="008D0871" w:rsidRPr="00025D47" w:rsidRDefault="00197E04" w:rsidP="008D0871">
      <w:pPr>
        <w:pStyle w:val="Akapitzlist"/>
        <w:numPr>
          <w:ilvl w:val="0"/>
          <w:numId w:val="8"/>
        </w:numPr>
        <w:spacing w:after="80"/>
        <w:ind w:left="284" w:hanging="284"/>
        <w:jc w:val="both"/>
        <w:rPr>
          <w:rFonts w:ascii="Lato" w:hAnsi="Lato"/>
          <w:u w:val="single"/>
        </w:rPr>
      </w:pPr>
      <w:r w:rsidRPr="00025D47">
        <w:rPr>
          <w:rFonts w:ascii="Lato" w:hAnsi="Lato"/>
          <w:u w:val="single"/>
        </w:rPr>
        <w:t xml:space="preserve">sugestia </w:t>
      </w:r>
      <w:r w:rsidRPr="00025D47">
        <w:rPr>
          <w:rFonts w:ascii="Lato" w:hAnsi="Lato"/>
          <w:b/>
          <w:u w:val="single"/>
        </w:rPr>
        <w:t>PKN</w:t>
      </w:r>
      <w:r w:rsidRPr="00025D47">
        <w:rPr>
          <w:rFonts w:ascii="Lato" w:hAnsi="Lato"/>
          <w:u w:val="single"/>
        </w:rPr>
        <w:t xml:space="preserve"> stosowania zapisu: </w:t>
      </w:r>
      <w:r w:rsidRPr="00025D47">
        <w:rPr>
          <w:rFonts w:ascii="Lato" w:hAnsi="Lato"/>
          <w:i/>
          <w:u w:val="single"/>
        </w:rPr>
        <w:t>„co najmniej zgodnie z normą”</w:t>
      </w:r>
      <w:r w:rsidRPr="00025D47">
        <w:rPr>
          <w:rFonts w:ascii="Lato" w:hAnsi="Lato"/>
          <w:u w:val="single"/>
        </w:rPr>
        <w:t xml:space="preserve"> lub </w:t>
      </w:r>
      <w:r w:rsidRPr="00025D47">
        <w:rPr>
          <w:rFonts w:ascii="Lato" w:hAnsi="Lato"/>
          <w:i/>
          <w:u w:val="single"/>
        </w:rPr>
        <w:t xml:space="preserve">„co najmniej zgodnie </w:t>
      </w:r>
      <w:r w:rsidR="00A45517" w:rsidRPr="00025D47">
        <w:rPr>
          <w:rFonts w:ascii="Lato" w:hAnsi="Lato"/>
          <w:i/>
          <w:u w:val="single"/>
        </w:rPr>
        <w:br/>
      </w:r>
      <w:r w:rsidRPr="00025D47">
        <w:rPr>
          <w:rFonts w:ascii="Lato" w:hAnsi="Lato"/>
          <w:i/>
          <w:u w:val="single"/>
        </w:rPr>
        <w:t>z wymaganiami normy”</w:t>
      </w:r>
      <w:r w:rsidRPr="00025D47">
        <w:rPr>
          <w:rFonts w:ascii="Lato" w:hAnsi="Lato"/>
          <w:u w:val="single"/>
        </w:rPr>
        <w:t xml:space="preserve"> oraz </w:t>
      </w:r>
      <w:r w:rsidRPr="00025D47">
        <w:rPr>
          <w:rFonts w:ascii="Lato" w:hAnsi="Lato"/>
          <w:b/>
          <w:u w:val="single"/>
        </w:rPr>
        <w:t>UODO</w:t>
      </w:r>
      <w:r w:rsidRPr="00025D47">
        <w:rPr>
          <w:rFonts w:ascii="Lato" w:hAnsi="Lato"/>
          <w:u w:val="single"/>
        </w:rPr>
        <w:t xml:space="preserve"> dotycząca uzupełnienia sformułowania: </w:t>
      </w:r>
      <w:r w:rsidRPr="00025D47">
        <w:rPr>
          <w:rFonts w:ascii="Lato" w:hAnsi="Lato"/>
          <w:i/>
          <w:u w:val="single"/>
        </w:rPr>
        <w:t>„normy równoważnej”</w:t>
      </w:r>
      <w:r w:rsidRPr="00025D47">
        <w:rPr>
          <w:rFonts w:ascii="Lato" w:hAnsi="Lato"/>
          <w:u w:val="single"/>
        </w:rPr>
        <w:t xml:space="preserve"> o sformułowanie: „</w:t>
      </w:r>
      <w:r w:rsidRPr="00025D47">
        <w:rPr>
          <w:rFonts w:ascii="Lato" w:hAnsi="Lato"/>
          <w:i/>
          <w:u w:val="single"/>
        </w:rPr>
        <w:t xml:space="preserve">w rozumieniu przepisów ustawy z dnia 12 września 2002 r. </w:t>
      </w:r>
      <w:r w:rsidR="00A45517" w:rsidRPr="00025D47">
        <w:rPr>
          <w:rFonts w:ascii="Lato" w:hAnsi="Lato"/>
          <w:i/>
          <w:u w:val="single"/>
        </w:rPr>
        <w:br/>
      </w:r>
      <w:r w:rsidRPr="00025D47">
        <w:rPr>
          <w:rFonts w:ascii="Lato" w:hAnsi="Lato"/>
          <w:i/>
          <w:u w:val="single"/>
        </w:rPr>
        <w:t>o normalizacji”</w:t>
      </w:r>
      <w:r w:rsidRPr="00025D47">
        <w:rPr>
          <w:rFonts w:ascii="Lato" w:hAnsi="Lato"/>
          <w:u w:val="single"/>
        </w:rPr>
        <w:t xml:space="preserve"> albo zastąpienia go zwrotem: </w:t>
      </w:r>
      <w:r w:rsidRPr="00025D47">
        <w:rPr>
          <w:rFonts w:ascii="Lato" w:hAnsi="Lato"/>
          <w:i/>
          <w:u w:val="single"/>
        </w:rPr>
        <w:t>„lub normy zastępującej powołaną normę”</w:t>
      </w:r>
    </w:p>
    <w:p w14:paraId="65BDE305" w14:textId="7183F29D" w:rsidR="002B3E9D" w:rsidRPr="002B3E9D" w:rsidRDefault="007A4FAC" w:rsidP="002B3E9D">
      <w:pPr>
        <w:pStyle w:val="Akapitzlist"/>
        <w:spacing w:after="80"/>
        <w:ind w:left="284"/>
        <w:jc w:val="both"/>
        <w:rPr>
          <w:rFonts w:ascii="Lato" w:hAnsi="Lato"/>
          <w:i/>
        </w:rPr>
      </w:pPr>
      <w:r>
        <w:rPr>
          <w:rFonts w:ascii="Lato" w:hAnsi="Lato"/>
        </w:rPr>
        <w:t>Przedmiotowe propozycje nie zostały uwzględnione</w:t>
      </w:r>
      <w:r w:rsidRPr="007A4FAC">
        <w:rPr>
          <w:rFonts w:ascii="Lato" w:hAnsi="Lato"/>
        </w:rPr>
        <w:t xml:space="preserve">. </w:t>
      </w:r>
      <w:r>
        <w:rPr>
          <w:rFonts w:ascii="Lato" w:hAnsi="Lato"/>
        </w:rPr>
        <w:t>Sugerowane zmiany</w:t>
      </w:r>
      <w:r w:rsidRPr="007A4FAC">
        <w:rPr>
          <w:rFonts w:ascii="Lato" w:hAnsi="Lato"/>
        </w:rPr>
        <w:t xml:space="preserve"> przepisów mo</w:t>
      </w:r>
      <w:r>
        <w:rPr>
          <w:rFonts w:ascii="Lato" w:hAnsi="Lato"/>
        </w:rPr>
        <w:t>gą</w:t>
      </w:r>
      <w:r w:rsidRPr="007A4FAC">
        <w:rPr>
          <w:rFonts w:ascii="Lato" w:hAnsi="Lato"/>
        </w:rPr>
        <w:t xml:space="preserve"> budzić ryzyko związane z ich wykonalnością bądź funkcjonalnością. W obecnym brzmieniu przepisy mają ju</w:t>
      </w:r>
      <w:r w:rsidR="002B3E9D">
        <w:rPr>
          <w:rFonts w:ascii="Lato" w:hAnsi="Lato"/>
        </w:rPr>
        <w:t xml:space="preserve">ż ustaloną praktykę stosowania. Z uwagi na pilny charakter projektu, </w:t>
      </w:r>
      <w:r w:rsidRPr="002B3E9D">
        <w:rPr>
          <w:rFonts w:ascii="Lato" w:hAnsi="Lato"/>
        </w:rPr>
        <w:lastRenderedPageBreak/>
        <w:t xml:space="preserve">przegląd treści rozporządzenia </w:t>
      </w:r>
      <w:r w:rsidR="002B3E9D" w:rsidRPr="002B3E9D">
        <w:rPr>
          <w:rFonts w:ascii="Lato" w:hAnsi="Lato"/>
        </w:rPr>
        <w:t>pod kątem wskazanej</w:t>
      </w:r>
      <w:r w:rsidRPr="002B3E9D">
        <w:rPr>
          <w:rFonts w:ascii="Lato" w:hAnsi="Lato"/>
        </w:rPr>
        <w:t xml:space="preserve"> terminologii, </w:t>
      </w:r>
      <w:r w:rsidR="002B3E9D" w:rsidRPr="002B3E9D">
        <w:rPr>
          <w:rFonts w:ascii="Lato" w:hAnsi="Lato"/>
        </w:rPr>
        <w:t xml:space="preserve">należy traktować </w:t>
      </w:r>
      <w:r w:rsidR="002B3E9D">
        <w:rPr>
          <w:rFonts w:ascii="Lato" w:hAnsi="Lato"/>
        </w:rPr>
        <w:t xml:space="preserve">jako uwagę </w:t>
      </w:r>
      <w:r w:rsidR="002B3E9D" w:rsidRPr="002B3E9D">
        <w:rPr>
          <w:rFonts w:ascii="Lato" w:hAnsi="Lato"/>
          <w:i/>
        </w:rPr>
        <w:t xml:space="preserve">de lege </w:t>
      </w:r>
      <w:proofErr w:type="spellStart"/>
      <w:r w:rsidR="002B3E9D" w:rsidRPr="002B3E9D">
        <w:rPr>
          <w:rFonts w:ascii="Lato" w:hAnsi="Lato"/>
          <w:i/>
        </w:rPr>
        <w:t>ferenda</w:t>
      </w:r>
      <w:proofErr w:type="spellEnd"/>
      <w:r w:rsidR="002B3E9D" w:rsidRPr="002B3E9D">
        <w:rPr>
          <w:rFonts w:ascii="Lato" w:hAnsi="Lato"/>
          <w:i/>
        </w:rPr>
        <w:t>.</w:t>
      </w:r>
    </w:p>
    <w:p w14:paraId="0945F303" w14:textId="06DC9FCD" w:rsidR="008D0871" w:rsidRPr="00025D47" w:rsidRDefault="002B3E9D" w:rsidP="008D0871">
      <w:pPr>
        <w:pStyle w:val="Akapitzlist"/>
        <w:numPr>
          <w:ilvl w:val="0"/>
          <w:numId w:val="8"/>
        </w:numPr>
        <w:spacing w:after="80"/>
        <w:ind w:left="284" w:hanging="284"/>
        <w:jc w:val="both"/>
        <w:rPr>
          <w:rFonts w:ascii="Lato" w:hAnsi="Lato"/>
          <w:u w:val="single"/>
        </w:rPr>
      </w:pPr>
      <w:r w:rsidRPr="00025D47">
        <w:rPr>
          <w:rFonts w:ascii="Lato" w:hAnsi="Lato"/>
          <w:b/>
          <w:u w:val="single"/>
        </w:rPr>
        <w:t>KT nr 182</w:t>
      </w:r>
      <w:r w:rsidRPr="00025D47">
        <w:rPr>
          <w:rFonts w:ascii="Lato" w:hAnsi="Lato"/>
          <w:u w:val="single"/>
        </w:rPr>
        <w:t xml:space="preserve"> dotycząca braku precyzyjności </w:t>
      </w:r>
      <w:r w:rsidR="00025D47">
        <w:rPr>
          <w:rFonts w:ascii="Lato" w:hAnsi="Lato"/>
          <w:u w:val="single"/>
        </w:rPr>
        <w:t>zwrotu</w:t>
      </w:r>
      <w:r w:rsidRPr="00025D47">
        <w:rPr>
          <w:rFonts w:ascii="Lato" w:hAnsi="Lato"/>
          <w:u w:val="single"/>
        </w:rPr>
        <w:t xml:space="preserve">: </w:t>
      </w:r>
      <w:r w:rsidRPr="00025D47">
        <w:rPr>
          <w:rFonts w:ascii="Lato" w:hAnsi="Lato"/>
          <w:i/>
          <w:u w:val="single"/>
        </w:rPr>
        <w:t>„dedykowane oprogramowanie”</w:t>
      </w:r>
      <w:r w:rsidRPr="00025D47">
        <w:rPr>
          <w:rFonts w:ascii="Lato" w:hAnsi="Lato"/>
          <w:u w:val="single"/>
        </w:rPr>
        <w:t xml:space="preserve"> (pkt I.1.3)</w:t>
      </w:r>
    </w:p>
    <w:p w14:paraId="20F8C1D7" w14:textId="7EDE58D5" w:rsidR="004E7B12" w:rsidRDefault="002B3E9D" w:rsidP="004E7B12">
      <w:pPr>
        <w:pStyle w:val="Akapitzlist"/>
        <w:spacing w:after="80"/>
        <w:ind w:left="284"/>
        <w:jc w:val="both"/>
        <w:rPr>
          <w:rFonts w:ascii="Lato" w:hAnsi="Lato"/>
        </w:rPr>
      </w:pPr>
      <w:r>
        <w:rPr>
          <w:rFonts w:ascii="Lato" w:hAnsi="Lato"/>
        </w:rPr>
        <w:t xml:space="preserve">W ocenie projektodawcy, ww. sformułowanie należy uznać za prawidłowe. </w:t>
      </w:r>
      <w:r w:rsidRPr="002B3E9D">
        <w:rPr>
          <w:rFonts w:ascii="Lato" w:hAnsi="Lato"/>
        </w:rPr>
        <w:t xml:space="preserve">Nie jest możliwe wskazanie konkretnie nazwy oraz wersji (dedykowanego) oprogramowania, ponieważ oprogramowanie zależy od wykorzystanego mikroprocesora (w ID mogą być stosowane mikroprocesory różnych producentów) i platformy operacyjnej, która jest ściśle związana </w:t>
      </w:r>
      <w:r w:rsidR="00025D47">
        <w:rPr>
          <w:rFonts w:ascii="Lato" w:hAnsi="Lato"/>
        </w:rPr>
        <w:br/>
      </w:r>
      <w:r w:rsidRPr="002B3E9D">
        <w:rPr>
          <w:rFonts w:ascii="Lato" w:hAnsi="Lato"/>
        </w:rPr>
        <w:t xml:space="preserve">z mikroprocesorem. Użycie zwrotu </w:t>
      </w:r>
      <w:r w:rsidRPr="002B3E9D">
        <w:rPr>
          <w:rFonts w:ascii="Lato" w:hAnsi="Lato"/>
          <w:i/>
        </w:rPr>
        <w:t>„dedykowanego oprogramowania”</w:t>
      </w:r>
      <w:r w:rsidRPr="002B3E9D">
        <w:rPr>
          <w:rFonts w:ascii="Lato" w:hAnsi="Lato"/>
        </w:rPr>
        <w:t xml:space="preserve"> wskazuje oprogramowanie właściwe dla wykorzystanego mikroprocesora, a nie dowodu osobistego. </w:t>
      </w:r>
    </w:p>
    <w:p w14:paraId="00935DD9" w14:textId="3302DB7D" w:rsidR="0020115A" w:rsidRPr="00366166" w:rsidRDefault="0020115A" w:rsidP="00366166">
      <w:pPr>
        <w:pStyle w:val="Akapitzlist"/>
        <w:numPr>
          <w:ilvl w:val="0"/>
          <w:numId w:val="10"/>
        </w:numPr>
        <w:spacing w:after="80"/>
        <w:ind w:left="284" w:hanging="284"/>
        <w:jc w:val="both"/>
        <w:rPr>
          <w:rFonts w:ascii="Lato" w:hAnsi="Lato"/>
        </w:rPr>
      </w:pPr>
      <w:r w:rsidRPr="00366166">
        <w:rPr>
          <w:rFonts w:ascii="Lato" w:hAnsi="Lato"/>
          <w:u w:val="single"/>
        </w:rPr>
        <w:t xml:space="preserve">propozycja </w:t>
      </w:r>
      <w:r w:rsidR="00366166" w:rsidRPr="00366166">
        <w:rPr>
          <w:rFonts w:ascii="Lato" w:hAnsi="Lato"/>
          <w:u w:val="single"/>
        </w:rPr>
        <w:t>uzupełnienia pkt IV.1.5</w:t>
      </w:r>
      <w:r w:rsidRPr="00366166">
        <w:rPr>
          <w:rFonts w:ascii="Lato" w:hAnsi="Lato"/>
          <w:u w:val="single"/>
        </w:rPr>
        <w:t xml:space="preserve"> </w:t>
      </w:r>
      <w:r w:rsidR="00366166" w:rsidRPr="00366166">
        <w:rPr>
          <w:rFonts w:ascii="Lato" w:hAnsi="Lato"/>
          <w:u w:val="single"/>
        </w:rPr>
        <w:t xml:space="preserve">o sformułowanie: </w:t>
      </w:r>
      <w:r w:rsidR="00366166" w:rsidRPr="00366166">
        <w:rPr>
          <w:rFonts w:ascii="Lato" w:hAnsi="Lato"/>
          <w:i/>
          <w:u w:val="single"/>
        </w:rPr>
        <w:t>„testów niefunkcjonalnych produktu złożonego, które wpływają na jego wydajność, użyteczność, bezpieczeństwo”</w:t>
      </w:r>
      <w:r w:rsidR="00366166">
        <w:rPr>
          <w:rFonts w:ascii="Lato" w:hAnsi="Lato"/>
        </w:rPr>
        <w:t xml:space="preserve"> </w:t>
      </w:r>
      <w:r w:rsidR="00366166" w:rsidRPr="00366166">
        <w:rPr>
          <w:rFonts w:ascii="Lato" w:hAnsi="Lato"/>
          <w:b/>
          <w:u w:val="single"/>
        </w:rPr>
        <w:t>(UODO)</w:t>
      </w:r>
    </w:p>
    <w:p w14:paraId="7395FA86" w14:textId="3AFC8018" w:rsidR="0020115A" w:rsidRDefault="0020115A" w:rsidP="0020115A">
      <w:pPr>
        <w:pStyle w:val="Akapitzlist"/>
        <w:spacing w:after="80"/>
        <w:ind w:left="284"/>
        <w:jc w:val="both"/>
        <w:rPr>
          <w:rFonts w:ascii="Lato" w:hAnsi="Lato"/>
        </w:rPr>
      </w:pPr>
      <w:r w:rsidRPr="0020115A">
        <w:rPr>
          <w:rFonts w:ascii="Lato" w:hAnsi="Lato"/>
        </w:rPr>
        <w:t xml:space="preserve">Istniejący wykaz wyczerpuje zakres zagadnienia zgodnie z: </w:t>
      </w:r>
      <w:r w:rsidRPr="00366166">
        <w:rPr>
          <w:rFonts w:ascii="Lato" w:hAnsi="Lato"/>
          <w:i/>
        </w:rPr>
        <w:t>„</w:t>
      </w:r>
      <w:proofErr w:type="spellStart"/>
      <w:r w:rsidRPr="00366166">
        <w:rPr>
          <w:rFonts w:ascii="Lato" w:hAnsi="Lato"/>
          <w:i/>
        </w:rPr>
        <w:t>Composite</w:t>
      </w:r>
      <w:proofErr w:type="spellEnd"/>
      <w:r w:rsidRPr="00366166">
        <w:rPr>
          <w:rFonts w:ascii="Lato" w:hAnsi="Lato"/>
          <w:i/>
        </w:rPr>
        <w:t xml:space="preserve"> </w:t>
      </w:r>
      <w:proofErr w:type="spellStart"/>
      <w:r w:rsidRPr="00366166">
        <w:rPr>
          <w:rFonts w:ascii="Lato" w:hAnsi="Lato"/>
          <w:i/>
        </w:rPr>
        <w:t>product</w:t>
      </w:r>
      <w:proofErr w:type="spellEnd"/>
      <w:r w:rsidRPr="00366166">
        <w:rPr>
          <w:rFonts w:ascii="Lato" w:hAnsi="Lato"/>
          <w:i/>
        </w:rPr>
        <w:t xml:space="preserve"> </w:t>
      </w:r>
      <w:proofErr w:type="spellStart"/>
      <w:r w:rsidRPr="00366166">
        <w:rPr>
          <w:rFonts w:ascii="Lato" w:hAnsi="Lato"/>
          <w:i/>
        </w:rPr>
        <w:t>evaluation</w:t>
      </w:r>
      <w:proofErr w:type="spellEnd"/>
      <w:r w:rsidRPr="00366166">
        <w:rPr>
          <w:rFonts w:ascii="Lato" w:hAnsi="Lato"/>
          <w:i/>
        </w:rPr>
        <w:t xml:space="preserve"> for Smart Cards and </w:t>
      </w:r>
      <w:proofErr w:type="spellStart"/>
      <w:r w:rsidRPr="00366166">
        <w:rPr>
          <w:rFonts w:ascii="Lato" w:hAnsi="Lato"/>
          <w:i/>
        </w:rPr>
        <w:t>similar</w:t>
      </w:r>
      <w:proofErr w:type="spellEnd"/>
      <w:r w:rsidRPr="00366166">
        <w:rPr>
          <w:rFonts w:ascii="Lato" w:hAnsi="Lato"/>
          <w:i/>
        </w:rPr>
        <w:t xml:space="preserve"> devices”</w:t>
      </w:r>
      <w:r w:rsidRPr="0020115A">
        <w:rPr>
          <w:rFonts w:ascii="Lato" w:hAnsi="Lato"/>
        </w:rPr>
        <w:t xml:space="preserve"> v_1.5.1, https://sogis.eu/documents/cc/domains/sc/JIL-Composite-product-evaluation-for-Smart-Cards-and-similar-devices-v1.5.1., w związku </w:t>
      </w:r>
      <w:r w:rsidR="00366166">
        <w:rPr>
          <w:rFonts w:ascii="Lato" w:hAnsi="Lato"/>
        </w:rPr>
        <w:br/>
      </w:r>
      <w:r w:rsidRPr="0020115A">
        <w:rPr>
          <w:rFonts w:ascii="Lato" w:hAnsi="Lato"/>
        </w:rPr>
        <w:t>z czym nie</w:t>
      </w:r>
      <w:r w:rsidR="00366166">
        <w:rPr>
          <w:rFonts w:ascii="Lato" w:hAnsi="Lato"/>
        </w:rPr>
        <w:t xml:space="preserve"> zachodzi potrzeba uzupełnienia.</w:t>
      </w:r>
    </w:p>
    <w:p w14:paraId="18EECF49" w14:textId="7B39E3FB" w:rsidR="004E7B12" w:rsidRPr="00366166" w:rsidRDefault="004E7B12" w:rsidP="004E7B12">
      <w:pPr>
        <w:pStyle w:val="Akapitzlist"/>
        <w:numPr>
          <w:ilvl w:val="0"/>
          <w:numId w:val="8"/>
        </w:numPr>
        <w:spacing w:after="80"/>
        <w:ind w:left="284" w:hanging="284"/>
        <w:jc w:val="both"/>
        <w:rPr>
          <w:rFonts w:ascii="Lato" w:hAnsi="Lato"/>
          <w:u w:val="single"/>
        </w:rPr>
      </w:pPr>
      <w:r w:rsidRPr="00366166">
        <w:rPr>
          <w:rFonts w:ascii="Lato" w:hAnsi="Lato"/>
          <w:u w:val="single"/>
        </w:rPr>
        <w:t xml:space="preserve">propozycja </w:t>
      </w:r>
      <w:r w:rsidRPr="00366166">
        <w:rPr>
          <w:rFonts w:ascii="Lato" w:hAnsi="Lato"/>
          <w:b/>
          <w:u w:val="single"/>
        </w:rPr>
        <w:t>KT nr 182</w:t>
      </w:r>
      <w:r w:rsidRPr="00366166">
        <w:rPr>
          <w:rFonts w:ascii="Lato" w:hAnsi="Lato"/>
          <w:u w:val="single"/>
        </w:rPr>
        <w:t xml:space="preserve"> wprowadzenia w pkt V nowego podpunktu dotyczącego zagadnienia ALC_FLR i schematu certyfikacji </w:t>
      </w:r>
      <w:proofErr w:type="spellStart"/>
      <w:r w:rsidRPr="00366166">
        <w:rPr>
          <w:rFonts w:ascii="Lato" w:hAnsi="Lato"/>
          <w:u w:val="single"/>
        </w:rPr>
        <w:t>cyberbezpieczeństwa</w:t>
      </w:r>
      <w:proofErr w:type="spellEnd"/>
      <w:r w:rsidRPr="00366166">
        <w:rPr>
          <w:rFonts w:ascii="Lato" w:hAnsi="Lato"/>
          <w:u w:val="single"/>
        </w:rPr>
        <w:t xml:space="preserve"> (EUCC)</w:t>
      </w:r>
    </w:p>
    <w:p w14:paraId="76DA9A4D" w14:textId="435206AB" w:rsidR="004E7B12" w:rsidRDefault="004E7B12" w:rsidP="004E7B12">
      <w:pPr>
        <w:pStyle w:val="Akapitzlist"/>
        <w:spacing w:after="80"/>
        <w:ind w:left="284"/>
        <w:jc w:val="both"/>
        <w:rPr>
          <w:rFonts w:ascii="Lato" w:hAnsi="Lato"/>
        </w:rPr>
      </w:pPr>
      <w:r w:rsidRPr="004E7B12">
        <w:rPr>
          <w:rFonts w:ascii="Lato" w:hAnsi="Lato"/>
        </w:rPr>
        <w:t xml:space="preserve">Propozycja nie </w:t>
      </w:r>
      <w:r>
        <w:rPr>
          <w:rFonts w:ascii="Lato" w:hAnsi="Lato"/>
        </w:rPr>
        <w:t>została uwzględniona</w:t>
      </w:r>
      <w:r w:rsidR="00A45517">
        <w:rPr>
          <w:rFonts w:ascii="Lato" w:hAnsi="Lato"/>
        </w:rPr>
        <w:t>,</w:t>
      </w:r>
      <w:r>
        <w:rPr>
          <w:rFonts w:ascii="Lato" w:hAnsi="Lato"/>
        </w:rPr>
        <w:t xml:space="preserve"> z uwagi na brak</w:t>
      </w:r>
      <w:r w:rsidRPr="004E7B12">
        <w:rPr>
          <w:rFonts w:ascii="Lato" w:hAnsi="Lato"/>
        </w:rPr>
        <w:t xml:space="preserve"> jednoznacznego ustalenia wpływu wdrażanego schematu EUCC na wskazane w uwadze wymagania. </w:t>
      </w:r>
    </w:p>
    <w:p w14:paraId="48D659B3" w14:textId="2F316027" w:rsidR="004E7B12" w:rsidRPr="00366166" w:rsidRDefault="00A45517" w:rsidP="008D0871">
      <w:pPr>
        <w:pStyle w:val="Akapitzlist"/>
        <w:numPr>
          <w:ilvl w:val="0"/>
          <w:numId w:val="8"/>
        </w:numPr>
        <w:spacing w:after="80"/>
        <w:ind w:left="284" w:hanging="284"/>
        <w:jc w:val="both"/>
        <w:rPr>
          <w:rFonts w:ascii="Lato" w:hAnsi="Lato"/>
          <w:u w:val="single"/>
        </w:rPr>
      </w:pPr>
      <w:r w:rsidRPr="00366166">
        <w:rPr>
          <w:rFonts w:ascii="Lato" w:hAnsi="Lato"/>
          <w:u w:val="single"/>
        </w:rPr>
        <w:t xml:space="preserve">dokonanie analizy wymagań bezpieczeństwa dla mikroprocesora oraz biblioteki kryptograficznej określonych w pkt VI i VII pod kątem ich poprawności, kompletności </w:t>
      </w:r>
      <w:r w:rsidR="003A34F6" w:rsidRPr="00366166">
        <w:rPr>
          <w:rFonts w:ascii="Lato" w:hAnsi="Lato"/>
          <w:u w:val="single"/>
        </w:rPr>
        <w:br/>
        <w:t>i</w:t>
      </w:r>
      <w:r w:rsidRPr="00366166">
        <w:rPr>
          <w:rFonts w:ascii="Lato" w:hAnsi="Lato"/>
          <w:u w:val="single"/>
        </w:rPr>
        <w:t xml:space="preserve"> weryfikowalności </w:t>
      </w:r>
      <w:r w:rsidR="003A34F6" w:rsidRPr="00366166">
        <w:rPr>
          <w:rFonts w:ascii="Lato" w:hAnsi="Lato"/>
          <w:u w:val="single"/>
        </w:rPr>
        <w:t>oraz zmiana</w:t>
      </w:r>
      <w:r w:rsidR="003A34F6" w:rsidRPr="00366166">
        <w:rPr>
          <w:rFonts w:ascii="Lato" w:hAnsi="Lato"/>
          <w:i/>
          <w:u w:val="single"/>
        </w:rPr>
        <w:t xml:space="preserve"> </w:t>
      </w:r>
      <w:r w:rsidR="003A34F6" w:rsidRPr="00366166">
        <w:rPr>
          <w:rFonts w:ascii="Lato" w:hAnsi="Lato"/>
          <w:u w:val="single"/>
        </w:rPr>
        <w:t xml:space="preserve">zapisów pkt IX.3.8 poprzez odwołanie do metod testowania określonych w normie ISO/IEC 17825 </w:t>
      </w:r>
      <w:r w:rsidRPr="00366166">
        <w:rPr>
          <w:rFonts w:ascii="Lato" w:hAnsi="Lato"/>
          <w:u w:val="single"/>
        </w:rPr>
        <w:t>(</w:t>
      </w:r>
      <w:r w:rsidRPr="00366166">
        <w:rPr>
          <w:rFonts w:ascii="Lato" w:hAnsi="Lato"/>
          <w:b/>
          <w:u w:val="single"/>
        </w:rPr>
        <w:t>KT nr 182)</w:t>
      </w:r>
    </w:p>
    <w:p w14:paraId="71B164C3" w14:textId="323BCF07" w:rsidR="00FA3542" w:rsidRPr="00FA3542" w:rsidRDefault="00AC31AB" w:rsidP="00FA3542">
      <w:pPr>
        <w:pStyle w:val="Akapitzlist"/>
        <w:spacing w:after="80"/>
        <w:ind w:left="284"/>
        <w:jc w:val="both"/>
        <w:rPr>
          <w:rFonts w:ascii="Lato" w:hAnsi="Lato"/>
        </w:rPr>
      </w:pPr>
      <w:r>
        <w:rPr>
          <w:rFonts w:ascii="Lato" w:hAnsi="Lato"/>
        </w:rPr>
        <w:t>W ocenie projektodawcy, p</w:t>
      </w:r>
      <w:r w:rsidRPr="00AC31AB">
        <w:rPr>
          <w:rFonts w:ascii="Lato" w:hAnsi="Lato"/>
        </w:rPr>
        <w:t xml:space="preserve">kt V </w:t>
      </w:r>
      <w:r>
        <w:rPr>
          <w:rFonts w:ascii="Lato" w:hAnsi="Lato"/>
        </w:rPr>
        <w:t xml:space="preserve">projektu </w:t>
      </w:r>
      <w:r w:rsidRPr="00AC31AB">
        <w:rPr>
          <w:rFonts w:ascii="Lato" w:hAnsi="Lato"/>
        </w:rPr>
        <w:t>załącznika Nr 1 wskazuje normy dla oceny bezpieczeństwa mikroprocesora, platformy operacyjnej oraz apletu. Spełnienie norm wskazanych w pkt V prowadzi do spełniania przez mikroprocesor, platformę operacyjną czy aplet wymagań z pkt VI i VII. Wymogi dot</w:t>
      </w:r>
      <w:r>
        <w:rPr>
          <w:rFonts w:ascii="Lato" w:hAnsi="Lato"/>
        </w:rPr>
        <w:t xml:space="preserve">yczące </w:t>
      </w:r>
      <w:r w:rsidRPr="00AC31AB">
        <w:rPr>
          <w:rFonts w:ascii="Lato" w:hAnsi="Lato"/>
        </w:rPr>
        <w:t xml:space="preserve">bezpieczeństwa weryfikowane są </w:t>
      </w:r>
      <w:r>
        <w:rPr>
          <w:rFonts w:ascii="Lato" w:hAnsi="Lato"/>
        </w:rPr>
        <w:br/>
      </w:r>
      <w:r w:rsidRPr="00AC31AB">
        <w:rPr>
          <w:rFonts w:ascii="Lato" w:hAnsi="Lato"/>
        </w:rPr>
        <w:t xml:space="preserve">w procesie ewaluacji i certyfikacji rozwiązania na podstawie przyjętych standardów </w:t>
      </w:r>
      <w:proofErr w:type="spellStart"/>
      <w:r w:rsidRPr="00AC31AB">
        <w:rPr>
          <w:rFonts w:ascii="Lato" w:hAnsi="Lato"/>
        </w:rPr>
        <w:t>Common</w:t>
      </w:r>
      <w:proofErr w:type="spellEnd"/>
      <w:r w:rsidRPr="00AC31AB">
        <w:rPr>
          <w:rFonts w:ascii="Lato" w:hAnsi="Lato"/>
        </w:rPr>
        <w:t xml:space="preserve"> </w:t>
      </w:r>
      <w:proofErr w:type="spellStart"/>
      <w:r w:rsidRPr="00AC31AB">
        <w:rPr>
          <w:rFonts w:ascii="Lato" w:hAnsi="Lato"/>
        </w:rPr>
        <w:t>Criteria</w:t>
      </w:r>
      <w:proofErr w:type="spellEnd"/>
      <w:r w:rsidRPr="00AC31AB">
        <w:rPr>
          <w:rFonts w:ascii="Lato" w:hAnsi="Lato"/>
        </w:rPr>
        <w:t xml:space="preserve">. </w:t>
      </w:r>
      <w:r>
        <w:rPr>
          <w:rFonts w:ascii="Lato" w:hAnsi="Lato"/>
        </w:rPr>
        <w:t xml:space="preserve">Ponadto </w:t>
      </w:r>
      <w:r w:rsidR="00FA3542">
        <w:rPr>
          <w:rFonts w:ascii="Lato" w:hAnsi="Lato"/>
        </w:rPr>
        <w:t xml:space="preserve">dokonanie postulowanej </w:t>
      </w:r>
      <w:r w:rsidR="00FA3542" w:rsidRPr="00FA3542">
        <w:rPr>
          <w:rFonts w:ascii="Lato" w:hAnsi="Lato"/>
        </w:rPr>
        <w:t>analizy wiąże się z długim horyzontem czasowym</w:t>
      </w:r>
      <w:r w:rsidR="00FA3542">
        <w:rPr>
          <w:rFonts w:ascii="Lato" w:hAnsi="Lato"/>
        </w:rPr>
        <w:t>.</w:t>
      </w:r>
      <w:r w:rsidR="00FA3542" w:rsidRPr="00FA3542">
        <w:rPr>
          <w:rFonts w:ascii="Lato" w:hAnsi="Lato"/>
        </w:rPr>
        <w:t xml:space="preserve"> </w:t>
      </w:r>
      <w:r w:rsidR="00FA3542">
        <w:rPr>
          <w:rFonts w:ascii="Lato" w:hAnsi="Lato"/>
        </w:rPr>
        <w:t>Z</w:t>
      </w:r>
      <w:r w:rsidR="00A45517">
        <w:rPr>
          <w:rFonts w:ascii="Lato" w:hAnsi="Lato"/>
        </w:rPr>
        <w:t xml:space="preserve"> uwagi </w:t>
      </w:r>
      <w:r w:rsidR="00FA3542">
        <w:rPr>
          <w:rFonts w:ascii="Lato" w:hAnsi="Lato"/>
        </w:rPr>
        <w:t xml:space="preserve">więc </w:t>
      </w:r>
      <w:r w:rsidR="00A45517">
        <w:rPr>
          <w:rFonts w:ascii="Lato" w:hAnsi="Lato"/>
        </w:rPr>
        <w:t>na pilny charakter projektu, determinowany</w:t>
      </w:r>
      <w:r>
        <w:rPr>
          <w:rFonts w:ascii="Lato" w:hAnsi="Lato"/>
        </w:rPr>
        <w:t xml:space="preserve"> terminem wejścia </w:t>
      </w:r>
      <w:r w:rsidR="00FA3542">
        <w:rPr>
          <w:rFonts w:ascii="Lato" w:hAnsi="Lato"/>
        </w:rPr>
        <w:br/>
      </w:r>
      <w:r w:rsidR="00A45517" w:rsidRPr="00A45517">
        <w:rPr>
          <w:rFonts w:ascii="Lato" w:hAnsi="Lato"/>
        </w:rPr>
        <w:t xml:space="preserve">w życie projektowanego rozporządzenia, który został skorelowany z wydaniem przez ministra właściwego do spraw informatyzacji w porozumieniu z ministrem właściwym do spraw wewnętrznych komunikatu określonego w art. 75 ust. 1 pkt 3 ustawy z dnia </w:t>
      </w:r>
      <w:r>
        <w:rPr>
          <w:rFonts w:ascii="Lato" w:hAnsi="Lato"/>
        </w:rPr>
        <w:br/>
      </w:r>
      <w:r w:rsidR="00A45517" w:rsidRPr="00A45517">
        <w:rPr>
          <w:rFonts w:ascii="Lato" w:hAnsi="Lato"/>
        </w:rPr>
        <w:t xml:space="preserve">26 maja 2023 r. </w:t>
      </w:r>
      <w:r w:rsidR="00A45517" w:rsidRPr="003A34F6">
        <w:rPr>
          <w:rFonts w:ascii="Lato" w:hAnsi="Lato"/>
          <w:i/>
        </w:rPr>
        <w:t xml:space="preserve">o aplikacji </w:t>
      </w:r>
      <w:proofErr w:type="spellStart"/>
      <w:r w:rsidR="00A45517" w:rsidRPr="003A34F6">
        <w:rPr>
          <w:rFonts w:ascii="Lato" w:hAnsi="Lato"/>
          <w:i/>
        </w:rPr>
        <w:t>mObywatel</w:t>
      </w:r>
      <w:proofErr w:type="spellEnd"/>
      <w:r w:rsidR="003A34F6">
        <w:rPr>
          <w:rFonts w:ascii="Lato" w:hAnsi="Lato"/>
        </w:rPr>
        <w:t xml:space="preserve">, jak również uwzględniając, iż projektowane rozwiązania stanowią powtórzenie dotychczasowych rozwiązań, przedmiotowe uwagi </w:t>
      </w:r>
      <w:r>
        <w:rPr>
          <w:rFonts w:ascii="Lato" w:hAnsi="Lato"/>
        </w:rPr>
        <w:br/>
      </w:r>
      <w:r w:rsidR="003A34F6" w:rsidRPr="003A34F6">
        <w:rPr>
          <w:rFonts w:ascii="Lato" w:hAnsi="Lato"/>
        </w:rPr>
        <w:t xml:space="preserve">w chwili obecnej </w:t>
      </w:r>
      <w:r w:rsidR="00A45517" w:rsidRPr="00A45517">
        <w:rPr>
          <w:rFonts w:ascii="Lato" w:hAnsi="Lato"/>
        </w:rPr>
        <w:t>zostaną potraktowane jako postulat</w:t>
      </w:r>
      <w:r w:rsidR="003A34F6">
        <w:rPr>
          <w:rFonts w:ascii="Lato" w:hAnsi="Lato"/>
        </w:rPr>
        <w:t>y</w:t>
      </w:r>
      <w:r w:rsidR="00A45517" w:rsidRPr="00A45517">
        <w:rPr>
          <w:rFonts w:ascii="Lato" w:hAnsi="Lato"/>
        </w:rPr>
        <w:t xml:space="preserve"> </w:t>
      </w:r>
      <w:r w:rsidR="00A45517" w:rsidRPr="003A34F6">
        <w:rPr>
          <w:rFonts w:ascii="Lato" w:hAnsi="Lato"/>
          <w:i/>
        </w:rPr>
        <w:t xml:space="preserve">de lege </w:t>
      </w:r>
      <w:proofErr w:type="spellStart"/>
      <w:r w:rsidR="00A45517" w:rsidRPr="003A34F6">
        <w:rPr>
          <w:rFonts w:ascii="Lato" w:hAnsi="Lato"/>
          <w:i/>
        </w:rPr>
        <w:t>ferenda</w:t>
      </w:r>
      <w:proofErr w:type="spellEnd"/>
      <w:r w:rsidR="00A45517" w:rsidRPr="00A45517">
        <w:rPr>
          <w:rFonts w:ascii="Lato" w:hAnsi="Lato"/>
        </w:rPr>
        <w:t>.</w:t>
      </w:r>
    </w:p>
    <w:p w14:paraId="3D738360" w14:textId="2B3432C3" w:rsidR="00FA3542" w:rsidRPr="00366166" w:rsidRDefault="00CC6BE7" w:rsidP="00CC6BE7">
      <w:pPr>
        <w:pStyle w:val="Akapitzlist"/>
        <w:numPr>
          <w:ilvl w:val="0"/>
          <w:numId w:val="8"/>
        </w:numPr>
        <w:spacing w:after="80"/>
        <w:ind w:left="284" w:hanging="284"/>
        <w:jc w:val="both"/>
        <w:rPr>
          <w:rFonts w:ascii="Lato" w:hAnsi="Lato"/>
          <w:u w:val="single"/>
        </w:rPr>
      </w:pPr>
      <w:r w:rsidRPr="00366166">
        <w:rPr>
          <w:rFonts w:ascii="Lato" w:hAnsi="Lato"/>
          <w:u w:val="single"/>
        </w:rPr>
        <w:t>wskazanie</w:t>
      </w:r>
      <w:r w:rsidR="00FA3542" w:rsidRPr="00366166">
        <w:rPr>
          <w:rFonts w:ascii="Lato" w:hAnsi="Lato"/>
          <w:u w:val="single"/>
        </w:rPr>
        <w:t xml:space="preserve"> specyfikacji zestawu krzywych eliptycznych w pkt VII.2 lit. b</w:t>
      </w:r>
      <w:r w:rsidRPr="00366166">
        <w:rPr>
          <w:rFonts w:ascii="Lato" w:hAnsi="Lato"/>
          <w:u w:val="single"/>
        </w:rPr>
        <w:t xml:space="preserve"> </w:t>
      </w:r>
      <w:r w:rsidRPr="00366166">
        <w:rPr>
          <w:rFonts w:ascii="Lato" w:hAnsi="Lato"/>
          <w:b/>
          <w:u w:val="single"/>
        </w:rPr>
        <w:t>(KT nr 182)</w:t>
      </w:r>
    </w:p>
    <w:p w14:paraId="1383E181" w14:textId="22BF17DB" w:rsidR="00FA3542" w:rsidRPr="00FA3542" w:rsidRDefault="00FA3542" w:rsidP="00FA3542">
      <w:pPr>
        <w:pStyle w:val="Akapitzlist"/>
        <w:spacing w:after="80"/>
        <w:ind w:left="284"/>
        <w:jc w:val="both"/>
        <w:rPr>
          <w:rFonts w:ascii="Lato" w:hAnsi="Lato"/>
        </w:rPr>
      </w:pPr>
      <w:r w:rsidRPr="00FA3542">
        <w:rPr>
          <w:rFonts w:ascii="Lato" w:hAnsi="Lato"/>
        </w:rPr>
        <w:t xml:space="preserve">Szczegółowa specyfikacja zestawu wspieranych krzywych eliptycznych, na poziomie rozporządzenia nie jest uzasadniona, ponieważ dla zachowania spójności, należałoby odpowiednie parametry zdefiniować w odniesieniu do wszystkich algorytmów związanych </w:t>
      </w:r>
      <w:r>
        <w:rPr>
          <w:rFonts w:ascii="Lato" w:hAnsi="Lato"/>
        </w:rPr>
        <w:t xml:space="preserve">                 </w:t>
      </w:r>
      <w:r w:rsidRPr="00FA3542">
        <w:rPr>
          <w:rFonts w:ascii="Lato" w:hAnsi="Lato"/>
        </w:rPr>
        <w:t xml:space="preserve">z funkcjonowaniem warstwy elektronicznej e-dowodu. Stosowne parametry zestawu krzywych eliptycznych zostały uwzględniane na poziomie Projektu Technicznego sporządzonego dla projektu </w:t>
      </w:r>
      <w:proofErr w:type="spellStart"/>
      <w:r w:rsidRPr="00FA3542">
        <w:rPr>
          <w:rFonts w:ascii="Lato" w:hAnsi="Lato"/>
        </w:rPr>
        <w:t>eDO</w:t>
      </w:r>
      <w:proofErr w:type="spellEnd"/>
      <w:r w:rsidRPr="00FA3542">
        <w:rPr>
          <w:rFonts w:ascii="Lato" w:hAnsi="Lato"/>
        </w:rPr>
        <w:t xml:space="preserve"> 2.0, w którym bezpieczeństwo poszczególnych algorytmów i ich parametrów jest weryfikowane z aktual</w:t>
      </w:r>
      <w:r>
        <w:rPr>
          <w:rFonts w:ascii="Lato" w:hAnsi="Lato"/>
        </w:rPr>
        <w:t>nie obowiązującymi standardami.</w:t>
      </w:r>
    </w:p>
    <w:p w14:paraId="456ECD5B" w14:textId="7D7EC77B" w:rsidR="00FA3542" w:rsidRPr="00366166" w:rsidRDefault="00FA3542" w:rsidP="00CC6BE7">
      <w:pPr>
        <w:pStyle w:val="Akapitzlist"/>
        <w:numPr>
          <w:ilvl w:val="0"/>
          <w:numId w:val="8"/>
        </w:numPr>
        <w:spacing w:after="80"/>
        <w:ind w:left="284" w:hanging="284"/>
        <w:jc w:val="both"/>
        <w:rPr>
          <w:rFonts w:ascii="Lato" w:hAnsi="Lato"/>
          <w:u w:val="single"/>
        </w:rPr>
      </w:pPr>
      <w:r w:rsidRPr="00366166">
        <w:rPr>
          <w:rFonts w:ascii="Lato" w:hAnsi="Lato"/>
          <w:u w:val="single"/>
        </w:rPr>
        <w:t>usz</w:t>
      </w:r>
      <w:r w:rsidR="00CC6BE7" w:rsidRPr="00366166">
        <w:rPr>
          <w:rFonts w:ascii="Lato" w:hAnsi="Lato"/>
          <w:u w:val="single"/>
        </w:rPr>
        <w:t>czegółowienie zapisów pkt VII.2 lit. c</w:t>
      </w:r>
      <w:r w:rsidRPr="00366166">
        <w:rPr>
          <w:rFonts w:ascii="Lato" w:hAnsi="Lato"/>
          <w:u w:val="single"/>
        </w:rPr>
        <w:t xml:space="preserve"> </w:t>
      </w:r>
      <w:r w:rsidR="00CC6BE7" w:rsidRPr="00366166">
        <w:rPr>
          <w:rFonts w:ascii="Lato" w:hAnsi="Lato"/>
          <w:b/>
          <w:u w:val="single"/>
        </w:rPr>
        <w:t>(KT nr 182)</w:t>
      </w:r>
    </w:p>
    <w:p w14:paraId="43D0F5EA" w14:textId="62D8E5B6" w:rsidR="004E7B12" w:rsidRPr="005C0C00" w:rsidRDefault="005C0C00" w:rsidP="005C0C00">
      <w:pPr>
        <w:pStyle w:val="Akapitzlist"/>
        <w:spacing w:after="80"/>
        <w:ind w:left="284"/>
        <w:jc w:val="both"/>
        <w:rPr>
          <w:rFonts w:ascii="Lato" w:hAnsi="Lato"/>
        </w:rPr>
      </w:pPr>
      <w:r>
        <w:rPr>
          <w:rFonts w:ascii="Lato" w:hAnsi="Lato"/>
        </w:rPr>
        <w:t xml:space="preserve">Przedmiotowa uwaga nie została uwzględniona, gdyż kwestionowany zapis – </w:t>
      </w:r>
      <w:r w:rsidRPr="005C0C00">
        <w:rPr>
          <w:rFonts w:ascii="Lato" w:hAnsi="Lato"/>
        </w:rPr>
        <w:t xml:space="preserve">wskazując na ogólny mechanizm ustalenia klucza oparty na protokole </w:t>
      </w:r>
      <w:proofErr w:type="spellStart"/>
      <w:r w:rsidRPr="005C0C00">
        <w:rPr>
          <w:rFonts w:ascii="Lato" w:hAnsi="Lato"/>
        </w:rPr>
        <w:t>Diffiego-Hellmana</w:t>
      </w:r>
      <w:proofErr w:type="spellEnd"/>
      <w:r>
        <w:rPr>
          <w:rFonts w:ascii="Lato" w:hAnsi="Lato"/>
        </w:rPr>
        <w:t xml:space="preserve"> – nie wymaga uszczegółowienia</w:t>
      </w:r>
      <w:r w:rsidR="00FA3542" w:rsidRPr="005C0C00">
        <w:rPr>
          <w:rFonts w:ascii="Lato" w:hAnsi="Lato"/>
        </w:rPr>
        <w:t xml:space="preserve">. Konkretne algorytmy wraz z parametrami zostały wyspecyfikowane na poziomie </w:t>
      </w:r>
      <w:r>
        <w:rPr>
          <w:rFonts w:ascii="Lato" w:hAnsi="Lato"/>
        </w:rPr>
        <w:t>ww.</w:t>
      </w:r>
      <w:r w:rsidR="00FA3542" w:rsidRPr="005C0C00">
        <w:rPr>
          <w:rFonts w:ascii="Lato" w:hAnsi="Lato"/>
        </w:rPr>
        <w:t xml:space="preserve"> Pr</w:t>
      </w:r>
      <w:r>
        <w:rPr>
          <w:rFonts w:ascii="Lato" w:hAnsi="Lato"/>
        </w:rPr>
        <w:t>ojektu Technicznego.</w:t>
      </w:r>
    </w:p>
    <w:p w14:paraId="1E18154D" w14:textId="77777777" w:rsidR="00366166" w:rsidRPr="008128D1" w:rsidRDefault="00366166" w:rsidP="00366166">
      <w:pPr>
        <w:pStyle w:val="Akapitzlist"/>
        <w:numPr>
          <w:ilvl w:val="0"/>
          <w:numId w:val="8"/>
        </w:numPr>
        <w:spacing w:after="80"/>
        <w:ind w:left="284" w:hanging="284"/>
        <w:jc w:val="both"/>
        <w:rPr>
          <w:rFonts w:ascii="Lato" w:hAnsi="Lato"/>
        </w:rPr>
      </w:pPr>
      <w:r w:rsidRPr="008128D1">
        <w:rPr>
          <w:rFonts w:ascii="Lato" w:hAnsi="Lato"/>
        </w:rPr>
        <w:lastRenderedPageBreak/>
        <w:t xml:space="preserve">nieprecyzyjne sformułowanie </w:t>
      </w:r>
      <w:r w:rsidRPr="008128D1">
        <w:rPr>
          <w:rFonts w:ascii="Lato" w:hAnsi="Lato"/>
          <w:i/>
        </w:rPr>
        <w:t>„przed podatnościami znanymi w momencie wykonania oceny bezpieczeństwa”</w:t>
      </w:r>
      <w:r w:rsidRPr="008128D1">
        <w:rPr>
          <w:rFonts w:ascii="Lato" w:hAnsi="Lato"/>
        </w:rPr>
        <w:t xml:space="preserve"> </w:t>
      </w:r>
      <w:r w:rsidRPr="008128D1">
        <w:rPr>
          <w:rFonts w:ascii="Lato" w:hAnsi="Lato"/>
          <w:b/>
          <w:u w:val="single"/>
        </w:rPr>
        <w:t>(KT nr 182)</w:t>
      </w:r>
    </w:p>
    <w:p w14:paraId="679F66C8" w14:textId="4956BDC8" w:rsidR="005C0C00" w:rsidRPr="008128D1" w:rsidRDefault="00366166" w:rsidP="00366166">
      <w:pPr>
        <w:pStyle w:val="Akapitzlist"/>
        <w:spacing w:after="80"/>
        <w:ind w:left="284"/>
        <w:jc w:val="both"/>
        <w:rPr>
          <w:rFonts w:ascii="Lato" w:hAnsi="Lato"/>
        </w:rPr>
      </w:pPr>
      <w:r w:rsidRPr="008128D1">
        <w:rPr>
          <w:rFonts w:ascii="Lato" w:hAnsi="Lato"/>
        </w:rPr>
        <w:t>Przedmiotowa uwag</w:t>
      </w:r>
      <w:r w:rsidR="00D234A2">
        <w:rPr>
          <w:rFonts w:ascii="Lato" w:hAnsi="Lato"/>
        </w:rPr>
        <w:t>a</w:t>
      </w:r>
      <w:r w:rsidRPr="008128D1">
        <w:rPr>
          <w:rFonts w:ascii="Lato" w:hAnsi="Lato"/>
        </w:rPr>
        <w:t xml:space="preserve"> nie została uwzględniona. P</w:t>
      </w:r>
      <w:r w:rsidR="005C0C00" w:rsidRPr="008128D1">
        <w:rPr>
          <w:rFonts w:ascii="Lato" w:hAnsi="Lato"/>
        </w:rPr>
        <w:t>roces oceny bezpieczeństwa w ramach certyfikacji produktu jest niezależnym procesem realizowanym przez niezależne podmioty umocowane do jego przeprowadzenia według właściwych dla tych procesów standardów.</w:t>
      </w:r>
    </w:p>
    <w:p w14:paraId="0A7B6A54" w14:textId="37B558D7" w:rsidR="008D0871" w:rsidRPr="008128D1" w:rsidRDefault="00014B18" w:rsidP="00366166">
      <w:pPr>
        <w:pStyle w:val="Akapitzlist"/>
        <w:spacing w:after="80"/>
        <w:ind w:left="284"/>
        <w:jc w:val="both"/>
        <w:rPr>
          <w:rFonts w:ascii="Lato" w:hAnsi="Lato"/>
        </w:rPr>
      </w:pPr>
      <w:r w:rsidRPr="008128D1">
        <w:rPr>
          <w:rFonts w:ascii="Lato" w:hAnsi="Lato"/>
        </w:rPr>
        <w:t>Stworzenie natomiast na poziomie rozporządzenia katalogu podatności</w:t>
      </w:r>
      <w:r w:rsidR="005C0C00" w:rsidRPr="008128D1">
        <w:rPr>
          <w:rFonts w:ascii="Lato" w:hAnsi="Lato"/>
        </w:rPr>
        <w:t xml:space="preserve"> poprzez odwołan</w:t>
      </w:r>
      <w:r w:rsidRPr="008128D1">
        <w:rPr>
          <w:rFonts w:ascii="Lato" w:hAnsi="Lato"/>
        </w:rPr>
        <w:t>ie się w treści rozporządzenia</w:t>
      </w:r>
      <w:r w:rsidR="005C0C00" w:rsidRPr="008128D1">
        <w:rPr>
          <w:rFonts w:ascii="Lato" w:hAnsi="Lato"/>
        </w:rPr>
        <w:t xml:space="preserve"> do konkretnego dokumentu, </w:t>
      </w:r>
      <w:r w:rsidRPr="008128D1">
        <w:rPr>
          <w:rFonts w:ascii="Lato" w:hAnsi="Lato"/>
        </w:rPr>
        <w:t>wymagałoby</w:t>
      </w:r>
      <w:r w:rsidR="005C0C00" w:rsidRPr="008128D1">
        <w:rPr>
          <w:rFonts w:ascii="Lato" w:hAnsi="Lato"/>
        </w:rPr>
        <w:t xml:space="preserve"> </w:t>
      </w:r>
      <w:r w:rsidRPr="008128D1">
        <w:rPr>
          <w:rFonts w:ascii="Lato" w:hAnsi="Lato"/>
        </w:rPr>
        <w:t xml:space="preserve">poprzedzenia </w:t>
      </w:r>
      <w:r w:rsidR="005C0C00" w:rsidRPr="008128D1">
        <w:rPr>
          <w:rFonts w:ascii="Lato" w:hAnsi="Lato"/>
        </w:rPr>
        <w:t>oddzieln</w:t>
      </w:r>
      <w:r w:rsidRPr="008128D1">
        <w:rPr>
          <w:rFonts w:ascii="Lato" w:hAnsi="Lato"/>
        </w:rPr>
        <w:t>ą</w:t>
      </w:r>
      <w:r w:rsidR="005C0C00" w:rsidRPr="008128D1">
        <w:rPr>
          <w:rFonts w:ascii="Lato" w:hAnsi="Lato"/>
        </w:rPr>
        <w:t xml:space="preserve"> analiz</w:t>
      </w:r>
      <w:r w:rsidRPr="008128D1">
        <w:rPr>
          <w:rFonts w:ascii="Lato" w:hAnsi="Lato"/>
        </w:rPr>
        <w:t>ą</w:t>
      </w:r>
      <w:r w:rsidR="005C0C00" w:rsidRPr="008128D1">
        <w:rPr>
          <w:rFonts w:ascii="Lato" w:hAnsi="Lato"/>
        </w:rPr>
        <w:t>, dotycząc</w:t>
      </w:r>
      <w:r w:rsidRPr="008128D1">
        <w:rPr>
          <w:rFonts w:ascii="Lato" w:hAnsi="Lato"/>
        </w:rPr>
        <w:t>ą</w:t>
      </w:r>
      <w:r w:rsidR="005C0C00" w:rsidRPr="008128D1">
        <w:rPr>
          <w:rFonts w:ascii="Lato" w:hAnsi="Lato"/>
        </w:rPr>
        <w:t xml:space="preserve"> możliwości uznania takiego katalogu za aktualny i wiążący, względem pojawiających się informacji o potencjalnych podatnościach i możliwości czasowej</w:t>
      </w:r>
      <w:r w:rsidRPr="008128D1">
        <w:rPr>
          <w:rFonts w:ascii="Lato" w:hAnsi="Lato"/>
        </w:rPr>
        <w:t>,</w:t>
      </w:r>
      <w:r w:rsidR="005C0C00" w:rsidRPr="008128D1">
        <w:rPr>
          <w:rFonts w:ascii="Lato" w:hAnsi="Lato"/>
        </w:rPr>
        <w:t xml:space="preserve"> systematycznej aktualizacji takiego katalogu. </w:t>
      </w:r>
      <w:r w:rsidRPr="008128D1">
        <w:rPr>
          <w:rFonts w:ascii="Lato" w:hAnsi="Lato"/>
        </w:rPr>
        <w:t>Mając na uwadze, że kwestie będące przedmiotem tej uwagi</w:t>
      </w:r>
      <w:r w:rsidR="005C0C00" w:rsidRPr="008128D1">
        <w:rPr>
          <w:rFonts w:ascii="Lato" w:hAnsi="Lato"/>
        </w:rPr>
        <w:t xml:space="preserve"> nie mają bezpośredniego wpływu na poprawność zdefiniowanych wymagań, </w:t>
      </w:r>
      <w:r w:rsidRPr="008128D1">
        <w:rPr>
          <w:rFonts w:ascii="Lato" w:hAnsi="Lato"/>
        </w:rPr>
        <w:t xml:space="preserve">jak też pilny charakter projektu, zgłoszona uwaga została potraktowana jako </w:t>
      </w:r>
      <w:r w:rsidRPr="008128D1">
        <w:rPr>
          <w:rFonts w:ascii="Lato" w:hAnsi="Lato"/>
        </w:rPr>
        <w:br/>
      </w:r>
      <w:r w:rsidRPr="008128D1">
        <w:rPr>
          <w:rFonts w:ascii="Lato" w:hAnsi="Lato"/>
          <w:i/>
        </w:rPr>
        <w:t xml:space="preserve">de lege </w:t>
      </w:r>
      <w:proofErr w:type="spellStart"/>
      <w:r w:rsidRPr="008128D1">
        <w:rPr>
          <w:rFonts w:ascii="Lato" w:hAnsi="Lato"/>
          <w:i/>
        </w:rPr>
        <w:t>ferenda</w:t>
      </w:r>
      <w:proofErr w:type="spellEnd"/>
      <w:r w:rsidRPr="008128D1">
        <w:rPr>
          <w:rFonts w:ascii="Lato" w:hAnsi="Lato"/>
          <w:i/>
        </w:rPr>
        <w:t xml:space="preserve">. </w:t>
      </w:r>
    </w:p>
    <w:p w14:paraId="6AC1F3C9" w14:textId="6F1BCA8D" w:rsidR="00F879B4" w:rsidRPr="00E0384A" w:rsidRDefault="004A22B6" w:rsidP="00E0384A">
      <w:pPr>
        <w:pStyle w:val="USTustnpkodeksu"/>
        <w:spacing w:after="80" w:line="259" w:lineRule="auto"/>
        <w:ind w:firstLine="0"/>
        <w:rPr>
          <w:rFonts w:ascii="Lato" w:hAnsi="Lato" w:cstheme="minorHAnsi"/>
          <w:sz w:val="22"/>
          <w:szCs w:val="22"/>
        </w:rPr>
      </w:pPr>
      <w:r w:rsidRPr="00B11D1D">
        <w:rPr>
          <w:rFonts w:ascii="Lato" w:hAnsi="Lato" w:cstheme="minorHAnsi"/>
          <w:b/>
          <w:sz w:val="22"/>
          <w:szCs w:val="22"/>
          <w:u w:val="single"/>
        </w:rPr>
        <w:t>Komisja Wspólna Rządu i Samorządu Terytorialnego</w:t>
      </w:r>
      <w:r w:rsidRPr="00E0384A">
        <w:rPr>
          <w:rFonts w:ascii="Lato" w:hAnsi="Lato" w:cstheme="minorHAnsi"/>
          <w:sz w:val="22"/>
          <w:szCs w:val="22"/>
        </w:rPr>
        <w:t xml:space="preserve"> w dniu 13 lutego 2024 r. pozytywnie zaopiniowała projekt rozporządzenia.</w:t>
      </w:r>
    </w:p>
    <w:p w14:paraId="2DB25EA8" w14:textId="77777777" w:rsidR="00C3592E" w:rsidRPr="00E0384A" w:rsidRDefault="00DE238E" w:rsidP="00E0384A">
      <w:pPr>
        <w:spacing w:after="80"/>
        <w:jc w:val="both"/>
        <w:rPr>
          <w:rFonts w:ascii="Lato" w:hAnsi="Lato" w:cstheme="minorHAnsi"/>
          <w:b/>
        </w:rPr>
      </w:pPr>
      <w:r w:rsidRPr="00E0384A">
        <w:rPr>
          <w:rFonts w:ascii="Lato" w:hAnsi="Lato" w:cstheme="minorHAnsi"/>
          <w:b/>
        </w:rPr>
        <w:t>3</w:t>
      </w:r>
      <w:r w:rsidR="00C3592E" w:rsidRPr="00E0384A">
        <w:rPr>
          <w:rFonts w:ascii="Lato" w:hAnsi="Lato" w:cstheme="minorHAnsi"/>
          <w:b/>
        </w:rPr>
        <w:t>. Przedstawienie wyników zasięgnięcia opinii, dokonania konsultacji albo uzgodnienia projektu z właściwymi organami i instytucjami Unii Europejskiej, w tym Europejskim Bankiem Centralnym</w:t>
      </w:r>
    </w:p>
    <w:p w14:paraId="2EE61771" w14:textId="739939FD" w:rsidR="00C3592E" w:rsidRDefault="00C3592E" w:rsidP="00E0384A">
      <w:pPr>
        <w:autoSpaceDE w:val="0"/>
        <w:autoSpaceDN w:val="0"/>
        <w:adjustRightInd w:val="0"/>
        <w:spacing w:after="80"/>
        <w:jc w:val="both"/>
        <w:rPr>
          <w:rFonts w:ascii="Lato" w:hAnsi="Lato"/>
        </w:rPr>
      </w:pPr>
      <w:r w:rsidRPr="00E0384A">
        <w:rPr>
          <w:rFonts w:ascii="Lato" w:hAnsi="Lato"/>
        </w:rPr>
        <w:t xml:space="preserve">Projekt </w:t>
      </w:r>
      <w:r w:rsidR="00507815" w:rsidRPr="00E0384A">
        <w:rPr>
          <w:rFonts w:ascii="Lato" w:hAnsi="Lato"/>
        </w:rPr>
        <w:t>rozporządzenia</w:t>
      </w:r>
      <w:r w:rsidRPr="00E0384A">
        <w:rPr>
          <w:rFonts w:ascii="Lato" w:hAnsi="Lato"/>
        </w:rPr>
        <w:t xml:space="preserve"> nie wymaga przedłożenia go właściwym instytucjom i organom Unii Europejskiej lub Europejskiemu Bankowi Centralnemu w celu uzyskania opinii, dokonania konsultacji lub uzgodnienia.</w:t>
      </w:r>
    </w:p>
    <w:p w14:paraId="58529179" w14:textId="0EE10595" w:rsidR="00014B18" w:rsidRPr="00E0384A" w:rsidRDefault="00014B18" w:rsidP="00014B18">
      <w:pPr>
        <w:autoSpaceDE w:val="0"/>
        <w:autoSpaceDN w:val="0"/>
        <w:adjustRightInd w:val="0"/>
        <w:spacing w:after="80"/>
        <w:jc w:val="both"/>
        <w:rPr>
          <w:rFonts w:ascii="Lato" w:hAnsi="Lato"/>
        </w:rPr>
      </w:pPr>
      <w:r w:rsidRPr="00014B18">
        <w:rPr>
          <w:rFonts w:ascii="Lato" w:hAnsi="Lato"/>
        </w:rPr>
        <w:t>Projektowana regulacja zawiera przepisy techniczne w rozumieniu roz</w:t>
      </w:r>
      <w:r>
        <w:rPr>
          <w:rFonts w:ascii="Lato" w:hAnsi="Lato"/>
        </w:rPr>
        <w:t xml:space="preserve">porządzenia Rady Ministrów </w:t>
      </w:r>
      <w:r w:rsidRPr="00014B18">
        <w:rPr>
          <w:rFonts w:ascii="Lato" w:hAnsi="Lato"/>
        </w:rPr>
        <w:t xml:space="preserve">z dnia 23 grudnia 2002 roku </w:t>
      </w:r>
      <w:r w:rsidRPr="00014B18">
        <w:rPr>
          <w:rFonts w:ascii="Lato" w:hAnsi="Lato"/>
          <w:i/>
        </w:rPr>
        <w:t>w sprawie sposobu funkcjonowania krajowego systemu notyfikacji norm i aktów prawnych</w:t>
      </w:r>
      <w:r w:rsidRPr="00014B18">
        <w:rPr>
          <w:rFonts w:ascii="Lato" w:hAnsi="Lato"/>
        </w:rPr>
        <w:t xml:space="preserve"> (Dz. U. poz. 2039 oraz z</w:t>
      </w:r>
      <w:r w:rsidR="008128D1">
        <w:rPr>
          <w:rFonts w:ascii="Lato" w:hAnsi="Lato"/>
        </w:rPr>
        <w:t xml:space="preserve"> </w:t>
      </w:r>
      <w:r w:rsidRPr="00014B18">
        <w:rPr>
          <w:rFonts w:ascii="Lato" w:hAnsi="Lato"/>
        </w:rPr>
        <w:t>2004 r. poz. 5</w:t>
      </w:r>
      <w:r w:rsidR="008128D1">
        <w:rPr>
          <w:rFonts w:ascii="Lato" w:hAnsi="Lato"/>
        </w:rPr>
        <w:t>97</w:t>
      </w:r>
      <w:r w:rsidRPr="00014B18">
        <w:rPr>
          <w:rFonts w:ascii="Lato" w:hAnsi="Lato"/>
        </w:rPr>
        <w:t>), zat</w:t>
      </w:r>
      <w:r>
        <w:rPr>
          <w:rFonts w:ascii="Lato" w:hAnsi="Lato"/>
        </w:rPr>
        <w:t xml:space="preserve">em podlega notyfikacji zgodnie </w:t>
      </w:r>
      <w:r w:rsidRPr="00014B18">
        <w:rPr>
          <w:rFonts w:ascii="Lato" w:hAnsi="Lato"/>
        </w:rPr>
        <w:t>z powołanym rozporządzeniem.</w:t>
      </w:r>
    </w:p>
    <w:p w14:paraId="4C1E1DAC" w14:textId="77777777" w:rsidR="00C3592E" w:rsidRPr="00E0384A" w:rsidRDefault="00DE238E" w:rsidP="00E0384A">
      <w:pPr>
        <w:spacing w:after="80"/>
        <w:jc w:val="both"/>
        <w:rPr>
          <w:rFonts w:ascii="Lato" w:hAnsi="Lato" w:cstheme="minorHAnsi"/>
          <w:b/>
        </w:rPr>
      </w:pPr>
      <w:r w:rsidRPr="00E0384A">
        <w:rPr>
          <w:rFonts w:ascii="Lato" w:hAnsi="Lato" w:cstheme="minorHAnsi"/>
          <w:b/>
        </w:rPr>
        <w:t>4</w:t>
      </w:r>
      <w:r w:rsidR="00C3592E" w:rsidRPr="00E0384A">
        <w:rPr>
          <w:rFonts w:ascii="Lato" w:hAnsi="Lato" w:cstheme="minorHAnsi"/>
          <w:b/>
        </w:rPr>
        <w:t xml:space="preserve">. Wskazanie podmiotów, które zgłosiły zainteresowanie pracami nad projektem w trybie przepisów o działalności lobbingowej w procesie stanowienia prawa, wraz ze wskazaniem kolejności dokonania zgłoszeń albo informację o ich braku </w:t>
      </w:r>
    </w:p>
    <w:p w14:paraId="240C4960" w14:textId="4B057FE4" w:rsidR="00C3592E" w:rsidRPr="00E0384A" w:rsidRDefault="00C3592E" w:rsidP="00014B18">
      <w:pPr>
        <w:autoSpaceDE w:val="0"/>
        <w:autoSpaceDN w:val="0"/>
        <w:adjustRightInd w:val="0"/>
        <w:spacing w:after="80"/>
        <w:jc w:val="both"/>
        <w:rPr>
          <w:rFonts w:ascii="Lato" w:hAnsi="Lato"/>
        </w:rPr>
      </w:pPr>
      <w:r w:rsidRPr="00E0384A">
        <w:rPr>
          <w:rFonts w:ascii="Lato" w:hAnsi="Lato"/>
        </w:rPr>
        <w:t>Nie odnotowano zgłoszeń zainteresowanych podmiotów w trybie przepisów o działalności lobbingowej w procesie stanowienia prawa.</w:t>
      </w:r>
    </w:p>
    <w:sectPr w:rsidR="00C3592E" w:rsidRPr="00E0384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ato">
    <w:altName w:val="Calibri"/>
    <w:panose1 w:val="020F0502020204030203"/>
    <w:charset w:val="EE"/>
    <w:family w:val="swiss"/>
    <w:pitch w:val="variable"/>
    <w:sig w:usb0="E10002FF" w:usb1="5000ECFF" w:usb2="0000002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3422C"/>
    <w:multiLevelType w:val="hybridMultilevel"/>
    <w:tmpl w:val="04625C84"/>
    <w:lvl w:ilvl="0" w:tplc="552270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88C5C22"/>
    <w:multiLevelType w:val="hybridMultilevel"/>
    <w:tmpl w:val="84A89F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2721A2C"/>
    <w:multiLevelType w:val="hybridMultilevel"/>
    <w:tmpl w:val="EC227E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04B612D"/>
    <w:multiLevelType w:val="hybridMultilevel"/>
    <w:tmpl w:val="8D44E8F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D192690"/>
    <w:multiLevelType w:val="hybridMultilevel"/>
    <w:tmpl w:val="2F7C0FE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DB222D7"/>
    <w:multiLevelType w:val="hybridMultilevel"/>
    <w:tmpl w:val="87E4CB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C8B41C0"/>
    <w:multiLevelType w:val="hybridMultilevel"/>
    <w:tmpl w:val="8736BE98"/>
    <w:lvl w:ilvl="0" w:tplc="552270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54323DDC"/>
    <w:multiLevelType w:val="hybridMultilevel"/>
    <w:tmpl w:val="5E2C475A"/>
    <w:lvl w:ilvl="0" w:tplc="5522700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8" w15:restartNumberingAfterBreak="0">
    <w:nsid w:val="5AB92924"/>
    <w:multiLevelType w:val="hybridMultilevel"/>
    <w:tmpl w:val="F68031E0"/>
    <w:lvl w:ilvl="0" w:tplc="5522700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65172D0"/>
    <w:multiLevelType w:val="hybridMultilevel"/>
    <w:tmpl w:val="762C01E4"/>
    <w:lvl w:ilvl="0" w:tplc="915AB46E">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5"/>
  </w:num>
  <w:num w:numId="2">
    <w:abstractNumId w:val="1"/>
  </w:num>
  <w:num w:numId="3">
    <w:abstractNumId w:val="3"/>
  </w:num>
  <w:num w:numId="4">
    <w:abstractNumId w:val="4"/>
  </w:num>
  <w:num w:numId="5">
    <w:abstractNumId w:val="2"/>
  </w:num>
  <w:num w:numId="6">
    <w:abstractNumId w:val="6"/>
  </w:num>
  <w:num w:numId="7">
    <w:abstractNumId w:val="8"/>
  </w:num>
  <w:num w:numId="8">
    <w:abstractNumId w:val="0"/>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0881"/>
    <w:rsid w:val="00010213"/>
    <w:rsid w:val="00014B18"/>
    <w:rsid w:val="00022B37"/>
    <w:rsid w:val="00022BC2"/>
    <w:rsid w:val="00025D47"/>
    <w:rsid w:val="00056E3D"/>
    <w:rsid w:val="0006170A"/>
    <w:rsid w:val="000721C8"/>
    <w:rsid w:val="00073AC7"/>
    <w:rsid w:val="000A69D3"/>
    <w:rsid w:val="000B5974"/>
    <w:rsid w:val="000D1F11"/>
    <w:rsid w:val="00104B8A"/>
    <w:rsid w:val="00126682"/>
    <w:rsid w:val="00152A46"/>
    <w:rsid w:val="00162F6F"/>
    <w:rsid w:val="00175FE9"/>
    <w:rsid w:val="00197E04"/>
    <w:rsid w:val="00201126"/>
    <w:rsid w:val="0020115A"/>
    <w:rsid w:val="00231543"/>
    <w:rsid w:val="00243C53"/>
    <w:rsid w:val="00281356"/>
    <w:rsid w:val="002817C7"/>
    <w:rsid w:val="002B3E9D"/>
    <w:rsid w:val="002B5CFC"/>
    <w:rsid w:val="002E1434"/>
    <w:rsid w:val="00333814"/>
    <w:rsid w:val="003573C9"/>
    <w:rsid w:val="00366166"/>
    <w:rsid w:val="0036690B"/>
    <w:rsid w:val="00397741"/>
    <w:rsid w:val="003A150C"/>
    <w:rsid w:val="003A34F6"/>
    <w:rsid w:val="003B6C8F"/>
    <w:rsid w:val="003E3C87"/>
    <w:rsid w:val="003E3D73"/>
    <w:rsid w:val="003F29C1"/>
    <w:rsid w:val="003F561D"/>
    <w:rsid w:val="004270ED"/>
    <w:rsid w:val="004531F6"/>
    <w:rsid w:val="00456774"/>
    <w:rsid w:val="004854EC"/>
    <w:rsid w:val="004A22B6"/>
    <w:rsid w:val="004A4B18"/>
    <w:rsid w:val="004E7B12"/>
    <w:rsid w:val="004F7626"/>
    <w:rsid w:val="00507815"/>
    <w:rsid w:val="00531620"/>
    <w:rsid w:val="00533546"/>
    <w:rsid w:val="00545ED6"/>
    <w:rsid w:val="0055688A"/>
    <w:rsid w:val="005A7484"/>
    <w:rsid w:val="005C0C00"/>
    <w:rsid w:val="005C444A"/>
    <w:rsid w:val="005E4D33"/>
    <w:rsid w:val="00635657"/>
    <w:rsid w:val="00651882"/>
    <w:rsid w:val="0065592E"/>
    <w:rsid w:val="00661F8C"/>
    <w:rsid w:val="00677D22"/>
    <w:rsid w:val="00692DDB"/>
    <w:rsid w:val="006B1F83"/>
    <w:rsid w:val="006E0881"/>
    <w:rsid w:val="00704CE0"/>
    <w:rsid w:val="00713C05"/>
    <w:rsid w:val="00753A61"/>
    <w:rsid w:val="0076366B"/>
    <w:rsid w:val="0077014D"/>
    <w:rsid w:val="00782E30"/>
    <w:rsid w:val="007A4FAC"/>
    <w:rsid w:val="007B12DC"/>
    <w:rsid w:val="007C1C83"/>
    <w:rsid w:val="007E79F6"/>
    <w:rsid w:val="008100C7"/>
    <w:rsid w:val="008128D1"/>
    <w:rsid w:val="008160AA"/>
    <w:rsid w:val="00853159"/>
    <w:rsid w:val="00854A8B"/>
    <w:rsid w:val="008B4E07"/>
    <w:rsid w:val="008D0871"/>
    <w:rsid w:val="008E2BCD"/>
    <w:rsid w:val="00983C75"/>
    <w:rsid w:val="009A6C2B"/>
    <w:rsid w:val="009D3444"/>
    <w:rsid w:val="00A37D0F"/>
    <w:rsid w:val="00A45517"/>
    <w:rsid w:val="00A946C0"/>
    <w:rsid w:val="00AB61D6"/>
    <w:rsid w:val="00AC0ED4"/>
    <w:rsid w:val="00AC31AB"/>
    <w:rsid w:val="00AC3A05"/>
    <w:rsid w:val="00AE3867"/>
    <w:rsid w:val="00B0600C"/>
    <w:rsid w:val="00B11D1D"/>
    <w:rsid w:val="00B44D52"/>
    <w:rsid w:val="00B526AD"/>
    <w:rsid w:val="00B54EE3"/>
    <w:rsid w:val="00BA5154"/>
    <w:rsid w:val="00BB708A"/>
    <w:rsid w:val="00BD0F3E"/>
    <w:rsid w:val="00BF0385"/>
    <w:rsid w:val="00C045A3"/>
    <w:rsid w:val="00C3592E"/>
    <w:rsid w:val="00C516F2"/>
    <w:rsid w:val="00C62E20"/>
    <w:rsid w:val="00C94ECB"/>
    <w:rsid w:val="00CA2F58"/>
    <w:rsid w:val="00CA57B7"/>
    <w:rsid w:val="00CB012F"/>
    <w:rsid w:val="00CC6BE7"/>
    <w:rsid w:val="00CD5ACC"/>
    <w:rsid w:val="00CE38AA"/>
    <w:rsid w:val="00D234A2"/>
    <w:rsid w:val="00D41877"/>
    <w:rsid w:val="00D4754B"/>
    <w:rsid w:val="00D63D41"/>
    <w:rsid w:val="00D64680"/>
    <w:rsid w:val="00D66C7B"/>
    <w:rsid w:val="00DB38CE"/>
    <w:rsid w:val="00DB530E"/>
    <w:rsid w:val="00DE238E"/>
    <w:rsid w:val="00DE5BE4"/>
    <w:rsid w:val="00E006A5"/>
    <w:rsid w:val="00E0384A"/>
    <w:rsid w:val="00E20DF0"/>
    <w:rsid w:val="00E32BC5"/>
    <w:rsid w:val="00E434C7"/>
    <w:rsid w:val="00E722B8"/>
    <w:rsid w:val="00E7759A"/>
    <w:rsid w:val="00E91526"/>
    <w:rsid w:val="00E970E2"/>
    <w:rsid w:val="00EA5EBA"/>
    <w:rsid w:val="00EB77FC"/>
    <w:rsid w:val="00ED5AA6"/>
    <w:rsid w:val="00EE5854"/>
    <w:rsid w:val="00EF0703"/>
    <w:rsid w:val="00F067B3"/>
    <w:rsid w:val="00F1771A"/>
    <w:rsid w:val="00F22BA1"/>
    <w:rsid w:val="00F3161D"/>
    <w:rsid w:val="00F34679"/>
    <w:rsid w:val="00F35812"/>
    <w:rsid w:val="00F554F5"/>
    <w:rsid w:val="00F73B3C"/>
    <w:rsid w:val="00F879B4"/>
    <w:rsid w:val="00F91629"/>
    <w:rsid w:val="00F92C8B"/>
    <w:rsid w:val="00F967FB"/>
    <w:rsid w:val="00FA3542"/>
    <w:rsid w:val="00FA6451"/>
    <w:rsid w:val="00FB0BB3"/>
    <w:rsid w:val="00FB3BD0"/>
    <w:rsid w:val="00FB6AFF"/>
    <w:rsid w:val="00FD23AF"/>
    <w:rsid w:val="00FF48C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52ECC1"/>
  <w15:chartTrackingRefBased/>
  <w15:docId w15:val="{DC7DCE17-CF4F-42C3-B71E-BCABE3D33D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507815"/>
    <w:pPr>
      <w:ind w:left="720"/>
      <w:contextualSpacing/>
    </w:pPr>
  </w:style>
  <w:style w:type="paragraph" w:customStyle="1" w:styleId="USTustnpkodeksu">
    <w:name w:val="UST(§) – ust. (§ np. kodeksu)"/>
    <w:basedOn w:val="Normalny"/>
    <w:uiPriority w:val="12"/>
    <w:qFormat/>
    <w:rsid w:val="00F879B4"/>
    <w:pPr>
      <w:suppressAutoHyphens/>
      <w:autoSpaceDE w:val="0"/>
      <w:autoSpaceDN w:val="0"/>
      <w:adjustRightInd w:val="0"/>
      <w:spacing w:after="0" w:line="360" w:lineRule="auto"/>
      <w:ind w:firstLine="510"/>
      <w:jc w:val="both"/>
    </w:pPr>
    <w:rPr>
      <w:rFonts w:ascii="Times" w:eastAsiaTheme="minorEastAsia" w:hAnsi="Times" w:cs="Arial"/>
      <w:bCs/>
      <w:sz w:val="24"/>
      <w:szCs w:val="20"/>
      <w:lang w:eastAsia="pl-PL"/>
    </w:rPr>
  </w:style>
  <w:style w:type="character" w:styleId="Odwoaniedokomentarza">
    <w:name w:val="annotation reference"/>
    <w:basedOn w:val="Domylnaczcionkaakapitu"/>
    <w:uiPriority w:val="99"/>
    <w:semiHidden/>
    <w:unhideWhenUsed/>
    <w:rsid w:val="000B5974"/>
    <w:rPr>
      <w:sz w:val="16"/>
      <w:szCs w:val="16"/>
    </w:rPr>
  </w:style>
  <w:style w:type="paragraph" w:styleId="Tekstkomentarza">
    <w:name w:val="annotation text"/>
    <w:basedOn w:val="Normalny"/>
    <w:link w:val="TekstkomentarzaZnak"/>
    <w:uiPriority w:val="99"/>
    <w:semiHidden/>
    <w:unhideWhenUsed/>
    <w:rsid w:val="000B597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0B5974"/>
    <w:rPr>
      <w:sz w:val="20"/>
      <w:szCs w:val="20"/>
    </w:rPr>
  </w:style>
  <w:style w:type="paragraph" w:styleId="Tematkomentarza">
    <w:name w:val="annotation subject"/>
    <w:basedOn w:val="Tekstkomentarza"/>
    <w:next w:val="Tekstkomentarza"/>
    <w:link w:val="TematkomentarzaZnak"/>
    <w:uiPriority w:val="99"/>
    <w:semiHidden/>
    <w:unhideWhenUsed/>
    <w:rsid w:val="000B5974"/>
    <w:rPr>
      <w:b/>
      <w:bCs/>
    </w:rPr>
  </w:style>
  <w:style w:type="character" w:customStyle="1" w:styleId="TematkomentarzaZnak">
    <w:name w:val="Temat komentarza Znak"/>
    <w:basedOn w:val="TekstkomentarzaZnak"/>
    <w:link w:val="Tematkomentarza"/>
    <w:uiPriority w:val="99"/>
    <w:semiHidden/>
    <w:rsid w:val="000B5974"/>
    <w:rPr>
      <w:b/>
      <w:bCs/>
      <w:sz w:val="20"/>
      <w:szCs w:val="20"/>
    </w:rPr>
  </w:style>
  <w:style w:type="paragraph" w:styleId="Tekstdymka">
    <w:name w:val="Balloon Text"/>
    <w:basedOn w:val="Normalny"/>
    <w:link w:val="TekstdymkaZnak"/>
    <w:uiPriority w:val="99"/>
    <w:semiHidden/>
    <w:unhideWhenUsed/>
    <w:rsid w:val="000B5974"/>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597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2638325">
      <w:bodyDiv w:val="1"/>
      <w:marLeft w:val="0"/>
      <w:marRight w:val="0"/>
      <w:marTop w:val="0"/>
      <w:marBottom w:val="0"/>
      <w:divBdr>
        <w:top w:val="none" w:sz="0" w:space="0" w:color="auto"/>
        <w:left w:val="none" w:sz="0" w:space="0" w:color="auto"/>
        <w:bottom w:val="none" w:sz="0" w:space="0" w:color="auto"/>
        <w:right w:val="none" w:sz="0" w:space="0" w:color="auto"/>
      </w:divBdr>
    </w:div>
    <w:div w:id="233780153">
      <w:bodyDiv w:val="1"/>
      <w:marLeft w:val="0"/>
      <w:marRight w:val="0"/>
      <w:marTop w:val="0"/>
      <w:marBottom w:val="0"/>
      <w:divBdr>
        <w:top w:val="none" w:sz="0" w:space="0" w:color="auto"/>
        <w:left w:val="none" w:sz="0" w:space="0" w:color="auto"/>
        <w:bottom w:val="none" w:sz="0" w:space="0" w:color="auto"/>
        <w:right w:val="none" w:sz="0" w:space="0" w:color="auto"/>
      </w:divBdr>
    </w:div>
    <w:div w:id="330183447">
      <w:bodyDiv w:val="1"/>
      <w:marLeft w:val="0"/>
      <w:marRight w:val="0"/>
      <w:marTop w:val="0"/>
      <w:marBottom w:val="0"/>
      <w:divBdr>
        <w:top w:val="none" w:sz="0" w:space="0" w:color="auto"/>
        <w:left w:val="none" w:sz="0" w:space="0" w:color="auto"/>
        <w:bottom w:val="none" w:sz="0" w:space="0" w:color="auto"/>
        <w:right w:val="none" w:sz="0" w:space="0" w:color="auto"/>
      </w:divBdr>
    </w:div>
    <w:div w:id="827480479">
      <w:bodyDiv w:val="1"/>
      <w:marLeft w:val="0"/>
      <w:marRight w:val="0"/>
      <w:marTop w:val="0"/>
      <w:marBottom w:val="0"/>
      <w:divBdr>
        <w:top w:val="none" w:sz="0" w:space="0" w:color="auto"/>
        <w:left w:val="none" w:sz="0" w:space="0" w:color="auto"/>
        <w:bottom w:val="none" w:sz="0" w:space="0" w:color="auto"/>
        <w:right w:val="none" w:sz="0" w:space="0" w:color="auto"/>
      </w:divBdr>
    </w:div>
    <w:div w:id="1314721622">
      <w:bodyDiv w:val="1"/>
      <w:marLeft w:val="0"/>
      <w:marRight w:val="0"/>
      <w:marTop w:val="0"/>
      <w:marBottom w:val="0"/>
      <w:divBdr>
        <w:top w:val="none" w:sz="0" w:space="0" w:color="auto"/>
        <w:left w:val="none" w:sz="0" w:space="0" w:color="auto"/>
        <w:bottom w:val="none" w:sz="0" w:space="0" w:color="auto"/>
        <w:right w:val="none" w:sz="0" w:space="0" w:color="auto"/>
      </w:divBdr>
    </w:div>
    <w:div w:id="1527672581">
      <w:bodyDiv w:val="1"/>
      <w:marLeft w:val="0"/>
      <w:marRight w:val="0"/>
      <w:marTop w:val="0"/>
      <w:marBottom w:val="0"/>
      <w:divBdr>
        <w:top w:val="none" w:sz="0" w:space="0" w:color="auto"/>
        <w:left w:val="none" w:sz="0" w:space="0" w:color="auto"/>
        <w:bottom w:val="none" w:sz="0" w:space="0" w:color="auto"/>
        <w:right w:val="none" w:sz="0" w:space="0" w:color="auto"/>
      </w:divBdr>
    </w:div>
    <w:div w:id="1537693924">
      <w:bodyDiv w:val="1"/>
      <w:marLeft w:val="0"/>
      <w:marRight w:val="0"/>
      <w:marTop w:val="0"/>
      <w:marBottom w:val="0"/>
      <w:divBdr>
        <w:top w:val="none" w:sz="0" w:space="0" w:color="auto"/>
        <w:left w:val="none" w:sz="0" w:space="0" w:color="auto"/>
        <w:bottom w:val="none" w:sz="0" w:space="0" w:color="auto"/>
        <w:right w:val="none" w:sz="0" w:space="0" w:color="auto"/>
      </w:divBdr>
    </w:div>
    <w:div w:id="176372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F30981-8BA8-45A3-9D04-5D8C56CD4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6</Pages>
  <Words>2938</Words>
  <Characters>17632</Characters>
  <Application>Microsoft Office Word</Application>
  <DocSecurity>0</DocSecurity>
  <Lines>146</Lines>
  <Paragraphs>41</Paragraphs>
  <ScaleCrop>false</ScaleCrop>
  <HeadingPairs>
    <vt:vector size="2" baseType="variant">
      <vt:variant>
        <vt:lpstr>Tytuł</vt:lpstr>
      </vt:variant>
      <vt:variant>
        <vt:i4>1</vt:i4>
      </vt:variant>
    </vt:vector>
  </HeadingPairs>
  <TitlesOfParts>
    <vt:vector size="1" baseType="lpstr">
      <vt:lpstr/>
    </vt:vector>
  </TitlesOfParts>
  <Company>MSWiA</Company>
  <LinksUpToDate>false</LinksUpToDate>
  <CharactersWithSpaces>20529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Hellich Mirosława</dc:creator>
  <cp:keywords/>
  <dc:description/>
  <cp:lastModifiedBy>autor</cp:lastModifiedBy>
  <cp:revision>10</cp:revision>
  <dcterms:created xsi:type="dcterms:W3CDTF">2024-04-29T08:29:00Z</dcterms:created>
  <dcterms:modified xsi:type="dcterms:W3CDTF">2024-05-20T08:21:00Z</dcterms:modified>
</cp:coreProperties>
</file>